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753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36"/>
          <w:szCs w:val="36"/>
          <w:lang w:val="en-US" w:eastAsia="zh-CN"/>
        </w:rPr>
        <w:t>复合表箱、检查井盖2025-2026年度采购项目招标公告</w:t>
      </w:r>
    </w:p>
    <w:p w14:paraId="77726AD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b w:val="0"/>
          <w:bCs/>
          <w:spacing w:val="0"/>
          <w:sz w:val="36"/>
          <w:szCs w:val="36"/>
          <w:lang w:eastAsia="zh-CN"/>
        </w:rPr>
      </w:pPr>
    </w:p>
    <w:p w14:paraId="4F1131E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启东市吕四自来水厂有限公司复合表箱、检查井盖2025-2026年度采购项目招标即将实施，现就该项目进行招标采购。</w:t>
      </w:r>
    </w:p>
    <w:p w14:paraId="048372A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656"/>
        <w:gridCol w:w="1179"/>
        <w:gridCol w:w="1545"/>
        <w:gridCol w:w="1116"/>
        <w:gridCol w:w="1130"/>
        <w:gridCol w:w="1631"/>
        <w:gridCol w:w="1424"/>
        <w:gridCol w:w="954"/>
      </w:tblGrid>
      <w:tr w14:paraId="37B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37" w:hRule="atLeast"/>
          <w:jc w:val="center"/>
        </w:trPr>
        <w:tc>
          <w:tcPr>
            <w:tcW w:w="656" w:type="dxa"/>
            <w:shd w:val="clear" w:color="auto" w:fill="auto"/>
            <w:noWrap/>
            <w:vAlign w:val="center"/>
          </w:tcPr>
          <w:p w14:paraId="35799BC0">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序号</w:t>
            </w:r>
          </w:p>
        </w:tc>
        <w:tc>
          <w:tcPr>
            <w:tcW w:w="1179" w:type="dxa"/>
            <w:shd w:val="clear" w:color="auto" w:fill="auto"/>
            <w:noWrap/>
            <w:vAlign w:val="center"/>
          </w:tcPr>
          <w:p w14:paraId="3A70D298">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材料名称</w:t>
            </w:r>
          </w:p>
        </w:tc>
        <w:tc>
          <w:tcPr>
            <w:tcW w:w="1545" w:type="dxa"/>
            <w:shd w:val="clear" w:color="auto" w:fill="auto"/>
            <w:noWrap/>
            <w:vAlign w:val="center"/>
          </w:tcPr>
          <w:p w14:paraId="1F023F45">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规格/型号</w:t>
            </w:r>
          </w:p>
        </w:tc>
        <w:tc>
          <w:tcPr>
            <w:tcW w:w="1116" w:type="dxa"/>
            <w:shd w:val="clear" w:color="auto" w:fill="auto"/>
            <w:noWrap/>
            <w:vAlign w:val="center"/>
          </w:tcPr>
          <w:p w14:paraId="59CD6DE3">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计量单位</w:t>
            </w:r>
          </w:p>
        </w:tc>
        <w:tc>
          <w:tcPr>
            <w:tcW w:w="1130" w:type="dxa"/>
            <w:shd w:val="clear" w:color="auto" w:fill="auto"/>
            <w:noWrap/>
            <w:vAlign w:val="center"/>
          </w:tcPr>
          <w:p w14:paraId="30C47131">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预估用量</w:t>
            </w:r>
          </w:p>
        </w:tc>
        <w:tc>
          <w:tcPr>
            <w:tcW w:w="1631" w:type="dxa"/>
            <w:shd w:val="clear" w:color="auto" w:fill="auto"/>
            <w:noWrap/>
            <w:vAlign w:val="center"/>
          </w:tcPr>
          <w:p w14:paraId="75B081F8">
            <w:pPr>
              <w:keepNext w:val="0"/>
              <w:keepLines w:val="0"/>
              <w:widowControl/>
              <w:suppressLineNumbers w:val="0"/>
              <w:jc w:val="center"/>
              <w:textAlignment w:val="center"/>
              <w:rPr>
                <w:rFonts w:hint="eastAsia"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综合单价(元)</w:t>
            </w:r>
          </w:p>
        </w:tc>
        <w:tc>
          <w:tcPr>
            <w:tcW w:w="1424" w:type="dxa"/>
            <w:shd w:val="clear" w:color="auto" w:fill="auto"/>
            <w:noWrap/>
            <w:vAlign w:val="center"/>
          </w:tcPr>
          <w:p w14:paraId="2936B968">
            <w:pPr>
              <w:keepNext w:val="0"/>
              <w:keepLines w:val="0"/>
              <w:widowControl/>
              <w:suppressLineNumbers w:val="0"/>
              <w:jc w:val="center"/>
              <w:textAlignment w:val="center"/>
              <w:rPr>
                <w:rFonts w:ascii="宋体" w:hAnsi="宋体" w:cs="宋体"/>
                <w:b/>
                <w:bCs/>
                <w:kern w:val="0"/>
                <w:sz w:val="22"/>
                <w:szCs w:val="22"/>
              </w:rPr>
            </w:pPr>
            <w:r>
              <w:rPr>
                <w:rStyle w:val="13"/>
                <w:b/>
                <w:bCs/>
                <w:sz w:val="22"/>
                <w:szCs w:val="22"/>
                <w:lang w:val="en-US" w:eastAsia="zh-CN" w:bidi="ar"/>
              </w:rPr>
              <w:t>合计(元)</w:t>
            </w:r>
          </w:p>
        </w:tc>
        <w:tc>
          <w:tcPr>
            <w:tcW w:w="954" w:type="dxa"/>
            <w:shd w:val="clear" w:color="auto" w:fill="auto"/>
            <w:noWrap/>
            <w:vAlign w:val="center"/>
          </w:tcPr>
          <w:p w14:paraId="4164DDC6">
            <w:pPr>
              <w:widowControl/>
              <w:snapToGrid w:val="0"/>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1A8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1CA294F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 </w:t>
            </w:r>
          </w:p>
        </w:tc>
        <w:tc>
          <w:tcPr>
            <w:tcW w:w="1179" w:type="dxa"/>
            <w:shd w:val="clear" w:color="auto" w:fill="auto"/>
            <w:noWrap/>
            <w:vAlign w:val="center"/>
          </w:tcPr>
          <w:p w14:paraId="7F14460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33D6689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500*300(10T)</w:t>
            </w:r>
          </w:p>
        </w:tc>
        <w:tc>
          <w:tcPr>
            <w:tcW w:w="1116" w:type="dxa"/>
            <w:shd w:val="clear" w:color="auto" w:fill="auto"/>
            <w:noWrap/>
            <w:vAlign w:val="center"/>
          </w:tcPr>
          <w:p w14:paraId="408EED3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7DC4A74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500 </w:t>
            </w:r>
          </w:p>
        </w:tc>
        <w:tc>
          <w:tcPr>
            <w:tcW w:w="1631" w:type="dxa"/>
            <w:shd w:val="clear" w:color="auto" w:fill="auto"/>
            <w:noWrap/>
            <w:vAlign w:val="center"/>
          </w:tcPr>
          <w:p w14:paraId="3881DD7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126.143</w:t>
            </w:r>
          </w:p>
        </w:tc>
        <w:tc>
          <w:tcPr>
            <w:tcW w:w="1424" w:type="dxa"/>
            <w:shd w:val="clear" w:color="auto" w:fill="auto"/>
            <w:noWrap/>
            <w:vAlign w:val="center"/>
          </w:tcPr>
          <w:p w14:paraId="46C50329">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63071.667</w:t>
            </w:r>
          </w:p>
        </w:tc>
        <w:tc>
          <w:tcPr>
            <w:tcW w:w="954" w:type="dxa"/>
            <w:vMerge w:val="restart"/>
            <w:shd w:val="clear" w:color="auto" w:fill="auto"/>
            <w:noWrap/>
            <w:vAlign w:val="center"/>
          </w:tcPr>
          <w:p w14:paraId="42D64C3A">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D03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680BF00">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 </w:t>
            </w:r>
          </w:p>
        </w:tc>
        <w:tc>
          <w:tcPr>
            <w:tcW w:w="1179" w:type="dxa"/>
            <w:shd w:val="clear" w:color="auto" w:fill="auto"/>
            <w:noWrap/>
            <w:vAlign w:val="center"/>
          </w:tcPr>
          <w:p w14:paraId="0A83B65C">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69C2CB7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600*400(5T)</w:t>
            </w:r>
          </w:p>
        </w:tc>
        <w:tc>
          <w:tcPr>
            <w:tcW w:w="1116" w:type="dxa"/>
            <w:shd w:val="clear" w:color="auto" w:fill="auto"/>
            <w:noWrap/>
            <w:vAlign w:val="center"/>
          </w:tcPr>
          <w:p w14:paraId="28E980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178412B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7F14EE3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180.21</w:t>
            </w:r>
          </w:p>
        </w:tc>
        <w:tc>
          <w:tcPr>
            <w:tcW w:w="1424" w:type="dxa"/>
            <w:shd w:val="clear" w:color="auto" w:fill="auto"/>
            <w:noWrap/>
            <w:vAlign w:val="center"/>
          </w:tcPr>
          <w:p w14:paraId="780FFF19">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18021</w:t>
            </w:r>
          </w:p>
        </w:tc>
        <w:tc>
          <w:tcPr>
            <w:tcW w:w="954" w:type="dxa"/>
            <w:vMerge w:val="continue"/>
            <w:shd w:val="clear" w:color="auto" w:fill="auto"/>
            <w:noWrap/>
            <w:vAlign w:val="center"/>
          </w:tcPr>
          <w:p w14:paraId="34828D9B">
            <w:pPr>
              <w:widowControl/>
              <w:snapToGrid w:val="0"/>
              <w:jc w:val="center"/>
              <w:textAlignment w:val="center"/>
              <w:rPr>
                <w:rFonts w:ascii="宋体" w:hAnsi="宋体" w:cs="宋体"/>
                <w:kern w:val="0"/>
                <w:sz w:val="22"/>
              </w:rPr>
            </w:pPr>
          </w:p>
        </w:tc>
      </w:tr>
      <w:tr w14:paraId="588F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5B303D3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 </w:t>
            </w:r>
          </w:p>
        </w:tc>
        <w:tc>
          <w:tcPr>
            <w:tcW w:w="1179" w:type="dxa"/>
            <w:shd w:val="clear" w:color="auto" w:fill="auto"/>
            <w:noWrap/>
            <w:vAlign w:val="center"/>
          </w:tcPr>
          <w:p w14:paraId="39F14E2A">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08F13A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600*500(5T)</w:t>
            </w:r>
          </w:p>
        </w:tc>
        <w:tc>
          <w:tcPr>
            <w:tcW w:w="1116" w:type="dxa"/>
            <w:shd w:val="clear" w:color="auto" w:fill="auto"/>
            <w:noWrap/>
            <w:vAlign w:val="center"/>
          </w:tcPr>
          <w:p w14:paraId="4AFC9A1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5774DD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440C1D2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205.65</w:t>
            </w:r>
          </w:p>
        </w:tc>
        <w:tc>
          <w:tcPr>
            <w:tcW w:w="1424" w:type="dxa"/>
            <w:shd w:val="clear" w:color="auto" w:fill="auto"/>
            <w:noWrap/>
            <w:vAlign w:val="center"/>
          </w:tcPr>
          <w:p w14:paraId="3FC790B6">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20565</w:t>
            </w:r>
          </w:p>
        </w:tc>
        <w:tc>
          <w:tcPr>
            <w:tcW w:w="954" w:type="dxa"/>
            <w:vMerge w:val="continue"/>
            <w:shd w:val="clear" w:color="auto" w:fill="auto"/>
            <w:noWrap/>
            <w:vAlign w:val="center"/>
          </w:tcPr>
          <w:p w14:paraId="24D9163F">
            <w:pPr>
              <w:widowControl/>
              <w:snapToGrid w:val="0"/>
              <w:jc w:val="center"/>
              <w:textAlignment w:val="center"/>
              <w:rPr>
                <w:rFonts w:ascii="宋体" w:hAnsi="宋体" w:cs="宋体"/>
                <w:kern w:val="0"/>
                <w:sz w:val="22"/>
              </w:rPr>
            </w:pPr>
          </w:p>
        </w:tc>
      </w:tr>
      <w:tr w14:paraId="0563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81AE33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 </w:t>
            </w:r>
          </w:p>
        </w:tc>
        <w:tc>
          <w:tcPr>
            <w:tcW w:w="1179" w:type="dxa"/>
            <w:shd w:val="clear" w:color="auto" w:fill="auto"/>
            <w:noWrap/>
            <w:vAlign w:val="center"/>
          </w:tcPr>
          <w:p w14:paraId="0DC2649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85C2CC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800*520(6T)</w:t>
            </w:r>
          </w:p>
        </w:tc>
        <w:tc>
          <w:tcPr>
            <w:tcW w:w="1116" w:type="dxa"/>
            <w:shd w:val="clear" w:color="auto" w:fill="auto"/>
            <w:noWrap/>
            <w:vAlign w:val="center"/>
          </w:tcPr>
          <w:p w14:paraId="2678B15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08140CC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200 </w:t>
            </w:r>
          </w:p>
        </w:tc>
        <w:tc>
          <w:tcPr>
            <w:tcW w:w="1631" w:type="dxa"/>
            <w:shd w:val="clear" w:color="auto" w:fill="auto"/>
            <w:noWrap/>
            <w:vAlign w:val="center"/>
          </w:tcPr>
          <w:p w14:paraId="7CF460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263.62</w:t>
            </w:r>
          </w:p>
        </w:tc>
        <w:tc>
          <w:tcPr>
            <w:tcW w:w="1424" w:type="dxa"/>
            <w:shd w:val="clear" w:color="auto" w:fill="auto"/>
            <w:noWrap/>
            <w:vAlign w:val="center"/>
          </w:tcPr>
          <w:p w14:paraId="47E919B4">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52724</w:t>
            </w:r>
          </w:p>
        </w:tc>
        <w:tc>
          <w:tcPr>
            <w:tcW w:w="954" w:type="dxa"/>
            <w:vMerge w:val="continue"/>
            <w:shd w:val="clear" w:color="auto" w:fill="auto"/>
            <w:noWrap/>
            <w:vAlign w:val="center"/>
          </w:tcPr>
          <w:p w14:paraId="65BCB15C">
            <w:pPr>
              <w:widowControl/>
              <w:snapToGrid w:val="0"/>
              <w:jc w:val="center"/>
              <w:textAlignment w:val="center"/>
              <w:rPr>
                <w:rFonts w:ascii="宋体" w:hAnsi="宋体" w:cs="宋体"/>
                <w:kern w:val="0"/>
                <w:sz w:val="22"/>
              </w:rPr>
            </w:pPr>
          </w:p>
        </w:tc>
      </w:tr>
      <w:tr w14:paraId="005C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35B4728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 </w:t>
            </w:r>
          </w:p>
        </w:tc>
        <w:tc>
          <w:tcPr>
            <w:tcW w:w="1179" w:type="dxa"/>
            <w:shd w:val="clear" w:color="auto" w:fill="auto"/>
            <w:noWrap/>
            <w:vAlign w:val="center"/>
          </w:tcPr>
          <w:p w14:paraId="74673150">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254B170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1000*500(8T)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(双开门)</w:t>
            </w:r>
          </w:p>
        </w:tc>
        <w:tc>
          <w:tcPr>
            <w:tcW w:w="1116" w:type="dxa"/>
            <w:shd w:val="clear" w:color="auto" w:fill="auto"/>
            <w:noWrap/>
            <w:vAlign w:val="center"/>
          </w:tcPr>
          <w:p w14:paraId="778910C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11CBC78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150 </w:t>
            </w:r>
          </w:p>
        </w:tc>
        <w:tc>
          <w:tcPr>
            <w:tcW w:w="1631" w:type="dxa"/>
            <w:shd w:val="clear" w:color="auto" w:fill="auto"/>
            <w:noWrap/>
            <w:vAlign w:val="center"/>
          </w:tcPr>
          <w:p w14:paraId="5AFDCB2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383.15</w:t>
            </w:r>
          </w:p>
        </w:tc>
        <w:tc>
          <w:tcPr>
            <w:tcW w:w="1424" w:type="dxa"/>
            <w:shd w:val="clear" w:color="auto" w:fill="auto"/>
            <w:noWrap/>
            <w:vAlign w:val="center"/>
          </w:tcPr>
          <w:p w14:paraId="502F4A45">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57472.5</w:t>
            </w:r>
          </w:p>
        </w:tc>
        <w:tc>
          <w:tcPr>
            <w:tcW w:w="954" w:type="dxa"/>
            <w:vMerge w:val="continue"/>
            <w:shd w:val="clear" w:color="auto" w:fill="auto"/>
            <w:noWrap/>
            <w:vAlign w:val="center"/>
          </w:tcPr>
          <w:p w14:paraId="640EEE2B">
            <w:pPr>
              <w:widowControl/>
              <w:snapToGrid w:val="0"/>
              <w:jc w:val="center"/>
              <w:textAlignment w:val="center"/>
              <w:rPr>
                <w:rFonts w:ascii="宋体" w:hAnsi="宋体" w:cs="宋体"/>
                <w:kern w:val="0"/>
                <w:sz w:val="22"/>
              </w:rPr>
            </w:pPr>
          </w:p>
        </w:tc>
      </w:tr>
      <w:tr w14:paraId="0C7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6114EE3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6 </w:t>
            </w:r>
          </w:p>
        </w:tc>
        <w:tc>
          <w:tcPr>
            <w:tcW w:w="1179" w:type="dxa"/>
            <w:shd w:val="clear" w:color="auto" w:fill="auto"/>
            <w:noWrap/>
            <w:vAlign w:val="center"/>
          </w:tcPr>
          <w:p w14:paraId="526FF667">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2916077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D350</w:t>
            </w:r>
          </w:p>
        </w:tc>
        <w:tc>
          <w:tcPr>
            <w:tcW w:w="1116" w:type="dxa"/>
            <w:shd w:val="clear" w:color="auto" w:fill="auto"/>
            <w:noWrap/>
            <w:vAlign w:val="center"/>
          </w:tcPr>
          <w:p w14:paraId="0209203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E6FC46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 </w:t>
            </w:r>
          </w:p>
        </w:tc>
        <w:tc>
          <w:tcPr>
            <w:tcW w:w="1631" w:type="dxa"/>
            <w:shd w:val="clear" w:color="auto" w:fill="auto"/>
            <w:noWrap/>
            <w:vAlign w:val="center"/>
          </w:tcPr>
          <w:p w14:paraId="1673FDC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424" w:type="dxa"/>
            <w:shd w:val="clear" w:color="auto" w:fill="auto"/>
            <w:noWrap/>
            <w:vAlign w:val="center"/>
          </w:tcPr>
          <w:p w14:paraId="5B441735">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5650</w:t>
            </w:r>
          </w:p>
        </w:tc>
        <w:tc>
          <w:tcPr>
            <w:tcW w:w="954" w:type="dxa"/>
            <w:vMerge w:val="continue"/>
            <w:shd w:val="clear" w:color="auto" w:fill="auto"/>
            <w:noWrap/>
            <w:vAlign w:val="center"/>
          </w:tcPr>
          <w:p w14:paraId="71292A72">
            <w:pPr>
              <w:widowControl/>
              <w:snapToGrid w:val="0"/>
              <w:jc w:val="center"/>
              <w:textAlignment w:val="center"/>
              <w:rPr>
                <w:rFonts w:ascii="宋体" w:hAnsi="宋体" w:cs="宋体"/>
                <w:kern w:val="0"/>
                <w:sz w:val="22"/>
              </w:rPr>
            </w:pPr>
          </w:p>
        </w:tc>
      </w:tr>
      <w:tr w14:paraId="5E6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34E8A5E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7 </w:t>
            </w:r>
          </w:p>
        </w:tc>
        <w:tc>
          <w:tcPr>
            <w:tcW w:w="1179" w:type="dxa"/>
            <w:shd w:val="clear" w:color="auto" w:fill="auto"/>
            <w:noWrap/>
            <w:vAlign w:val="center"/>
          </w:tcPr>
          <w:p w14:paraId="29B60A07">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3AD8767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D500</w:t>
            </w:r>
          </w:p>
        </w:tc>
        <w:tc>
          <w:tcPr>
            <w:tcW w:w="1116" w:type="dxa"/>
            <w:shd w:val="clear" w:color="auto" w:fill="auto"/>
            <w:noWrap/>
            <w:vAlign w:val="center"/>
          </w:tcPr>
          <w:p w14:paraId="2170FC4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DF16C0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26A472D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192.22</w:t>
            </w:r>
          </w:p>
        </w:tc>
        <w:tc>
          <w:tcPr>
            <w:tcW w:w="1424" w:type="dxa"/>
            <w:shd w:val="clear" w:color="auto" w:fill="auto"/>
            <w:noWrap/>
            <w:vAlign w:val="center"/>
          </w:tcPr>
          <w:p w14:paraId="0359E1D6">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19222</w:t>
            </w:r>
          </w:p>
        </w:tc>
        <w:tc>
          <w:tcPr>
            <w:tcW w:w="954" w:type="dxa"/>
            <w:vMerge w:val="continue"/>
            <w:shd w:val="clear" w:color="auto" w:fill="auto"/>
            <w:noWrap/>
            <w:vAlign w:val="center"/>
          </w:tcPr>
          <w:p w14:paraId="14114ECD">
            <w:pPr>
              <w:widowControl/>
              <w:snapToGrid w:val="0"/>
              <w:jc w:val="center"/>
              <w:textAlignment w:val="center"/>
              <w:rPr>
                <w:rFonts w:ascii="宋体" w:hAnsi="宋体" w:cs="宋体"/>
                <w:kern w:val="0"/>
                <w:sz w:val="22"/>
              </w:rPr>
            </w:pPr>
          </w:p>
        </w:tc>
      </w:tr>
      <w:tr w14:paraId="0A12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6625C2A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8 </w:t>
            </w:r>
          </w:p>
        </w:tc>
        <w:tc>
          <w:tcPr>
            <w:tcW w:w="1179" w:type="dxa"/>
            <w:shd w:val="clear" w:color="auto" w:fill="auto"/>
            <w:noWrap/>
            <w:vAlign w:val="center"/>
          </w:tcPr>
          <w:p w14:paraId="75EA183D">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0A804FC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D700</w:t>
            </w:r>
          </w:p>
        </w:tc>
        <w:tc>
          <w:tcPr>
            <w:tcW w:w="1116" w:type="dxa"/>
            <w:shd w:val="clear" w:color="auto" w:fill="auto"/>
            <w:noWrap/>
            <w:vAlign w:val="center"/>
          </w:tcPr>
          <w:p w14:paraId="7773261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2DC49A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61F651F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396.853</w:t>
            </w:r>
          </w:p>
        </w:tc>
        <w:tc>
          <w:tcPr>
            <w:tcW w:w="1424" w:type="dxa"/>
            <w:shd w:val="clear" w:color="auto" w:fill="auto"/>
            <w:noWrap/>
            <w:vAlign w:val="center"/>
          </w:tcPr>
          <w:p w14:paraId="60B4EC8A">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39685.333</w:t>
            </w:r>
          </w:p>
        </w:tc>
        <w:tc>
          <w:tcPr>
            <w:tcW w:w="954" w:type="dxa"/>
            <w:vMerge w:val="continue"/>
            <w:shd w:val="clear" w:color="auto" w:fill="auto"/>
            <w:noWrap/>
            <w:vAlign w:val="center"/>
          </w:tcPr>
          <w:p w14:paraId="18AD0390">
            <w:pPr>
              <w:widowControl/>
              <w:snapToGrid w:val="0"/>
              <w:jc w:val="center"/>
              <w:textAlignment w:val="center"/>
              <w:rPr>
                <w:rFonts w:ascii="宋体" w:hAnsi="宋体" w:cs="宋体"/>
                <w:kern w:val="0"/>
                <w:sz w:val="22"/>
              </w:rPr>
            </w:pPr>
          </w:p>
        </w:tc>
      </w:tr>
      <w:tr w14:paraId="324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05F218E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9 </w:t>
            </w:r>
          </w:p>
        </w:tc>
        <w:tc>
          <w:tcPr>
            <w:tcW w:w="1179" w:type="dxa"/>
            <w:shd w:val="clear" w:color="auto" w:fill="auto"/>
            <w:noWrap/>
            <w:vAlign w:val="center"/>
          </w:tcPr>
          <w:p w14:paraId="1A505D5B">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水表箱盖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(单盖)</w:t>
            </w:r>
          </w:p>
        </w:tc>
        <w:tc>
          <w:tcPr>
            <w:tcW w:w="1545" w:type="dxa"/>
            <w:shd w:val="clear" w:color="auto" w:fill="auto"/>
            <w:noWrap/>
            <w:vAlign w:val="center"/>
          </w:tcPr>
          <w:p w14:paraId="48516F1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530*330(10T)</w:t>
            </w:r>
          </w:p>
        </w:tc>
        <w:tc>
          <w:tcPr>
            <w:tcW w:w="1116" w:type="dxa"/>
            <w:shd w:val="clear" w:color="auto" w:fill="auto"/>
            <w:noWrap/>
            <w:vAlign w:val="center"/>
          </w:tcPr>
          <w:p w14:paraId="72C977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只</w:t>
            </w:r>
          </w:p>
        </w:tc>
        <w:tc>
          <w:tcPr>
            <w:tcW w:w="1130" w:type="dxa"/>
            <w:shd w:val="clear" w:color="auto" w:fill="auto"/>
            <w:noWrap/>
            <w:vAlign w:val="center"/>
          </w:tcPr>
          <w:p w14:paraId="30EDE89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400 </w:t>
            </w:r>
          </w:p>
        </w:tc>
        <w:tc>
          <w:tcPr>
            <w:tcW w:w="1631" w:type="dxa"/>
            <w:shd w:val="clear" w:color="auto" w:fill="auto"/>
            <w:noWrap/>
            <w:vAlign w:val="center"/>
          </w:tcPr>
          <w:p w14:paraId="5669592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424" w:type="dxa"/>
            <w:shd w:val="clear" w:color="auto" w:fill="auto"/>
            <w:noWrap/>
            <w:vAlign w:val="center"/>
          </w:tcPr>
          <w:p w14:paraId="6267925C">
            <w:pPr>
              <w:keepNext w:val="0"/>
              <w:keepLines w:val="0"/>
              <w:widowControl/>
              <w:suppressLineNumbers w:val="0"/>
              <w:jc w:val="center"/>
              <w:textAlignment w:val="top"/>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39200</w:t>
            </w:r>
          </w:p>
        </w:tc>
        <w:tc>
          <w:tcPr>
            <w:tcW w:w="954" w:type="dxa"/>
            <w:vMerge w:val="continue"/>
            <w:shd w:val="clear" w:color="auto" w:fill="auto"/>
            <w:noWrap/>
            <w:vAlign w:val="center"/>
          </w:tcPr>
          <w:p w14:paraId="7C9483EE">
            <w:pPr>
              <w:widowControl/>
              <w:snapToGrid w:val="0"/>
              <w:jc w:val="center"/>
              <w:textAlignment w:val="center"/>
              <w:rPr>
                <w:rFonts w:ascii="宋体" w:hAnsi="宋体" w:cs="宋体"/>
                <w:kern w:val="0"/>
                <w:sz w:val="22"/>
              </w:rPr>
            </w:pPr>
          </w:p>
        </w:tc>
      </w:tr>
      <w:tr w14:paraId="7EB9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1835" w:type="dxa"/>
            <w:gridSpan w:val="2"/>
            <w:shd w:val="clear" w:color="auto" w:fill="auto"/>
            <w:noWrap/>
            <w:vAlign w:val="center"/>
          </w:tcPr>
          <w:p w14:paraId="53D368C7">
            <w:pPr>
              <w:keepNext w:val="0"/>
              <w:keepLines w:val="0"/>
              <w:widowControl/>
              <w:suppressLineNumbers w:val="0"/>
              <w:jc w:val="center"/>
              <w:textAlignment w:val="center"/>
              <w:rPr>
                <w:rFonts w:hint="eastAsia" w:ascii="宋体" w:hAnsi="宋体" w:cs="宋体"/>
                <w:b/>
                <w:bCs/>
                <w:kern w:val="0"/>
                <w:sz w:val="22"/>
                <w:szCs w:val="22"/>
              </w:rPr>
            </w:pPr>
            <w:r>
              <w:rPr>
                <w:rFonts w:hint="eastAsia" w:ascii="宋体" w:hAnsi="宋体" w:cs="宋体"/>
                <w:b/>
                <w:bCs/>
                <w:i w:val="0"/>
                <w:iCs w:val="0"/>
                <w:color w:val="000000"/>
                <w:kern w:val="0"/>
                <w:sz w:val="22"/>
                <w:szCs w:val="22"/>
                <w:u w:val="none"/>
                <w:lang w:val="en-US" w:eastAsia="zh-CN" w:bidi="ar"/>
              </w:rPr>
              <w:t>总价（元）</w:t>
            </w:r>
          </w:p>
        </w:tc>
        <w:tc>
          <w:tcPr>
            <w:tcW w:w="6846" w:type="dxa"/>
            <w:gridSpan w:val="5"/>
            <w:shd w:val="clear" w:color="auto" w:fill="auto"/>
            <w:noWrap/>
            <w:vAlign w:val="center"/>
          </w:tcPr>
          <w:p w14:paraId="0ED02C01">
            <w:pPr>
              <w:keepNext w:val="0"/>
              <w:keepLines w:val="0"/>
              <w:widowControl/>
              <w:suppressLineNumbers w:val="0"/>
              <w:jc w:val="left"/>
              <w:textAlignment w:val="top"/>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 xml:space="preserve">大写：叁拾壹万伍仟陆佰壹拾壹元整    </w:t>
            </w:r>
          </w:p>
          <w:p w14:paraId="555B2DA7">
            <w:pPr>
              <w:keepNext w:val="0"/>
              <w:keepLines w:val="0"/>
              <w:widowControl/>
              <w:suppressLineNumbers w:val="0"/>
              <w:jc w:val="left"/>
              <w:textAlignment w:val="top"/>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小写：￥315611.00</w:t>
            </w:r>
          </w:p>
        </w:tc>
        <w:tc>
          <w:tcPr>
            <w:tcW w:w="954" w:type="dxa"/>
            <w:vMerge w:val="continue"/>
            <w:shd w:val="clear" w:color="auto" w:fill="auto"/>
            <w:noWrap/>
            <w:vAlign w:val="center"/>
          </w:tcPr>
          <w:p w14:paraId="6DE54BA2">
            <w:pPr>
              <w:widowControl/>
              <w:snapToGrid w:val="0"/>
              <w:jc w:val="center"/>
              <w:textAlignment w:val="center"/>
              <w:rPr>
                <w:rFonts w:ascii="宋体" w:hAnsi="宋体" w:cs="宋体"/>
                <w:kern w:val="0"/>
                <w:sz w:val="22"/>
              </w:rPr>
            </w:pPr>
          </w:p>
        </w:tc>
      </w:tr>
    </w:tbl>
    <w:p w14:paraId="66C6A0A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rPr>
      </w:pPr>
      <w:r>
        <w:rPr>
          <w:rFonts w:hint="eastAsia" w:asciiTheme="minorEastAsia" w:hAnsiTheme="minorEastAsia" w:eastAsiaTheme="minorEastAsia" w:cstheme="minorEastAsia"/>
          <w:b/>
          <w:bCs/>
          <w:color w:val="auto"/>
          <w:sz w:val="30"/>
          <w:szCs w:val="30"/>
          <w:lang w:val="en-US" w:eastAsia="zh-CN"/>
        </w:rPr>
        <w:t>二、约定事项</w:t>
      </w:r>
    </w:p>
    <w:p w14:paraId="657C6636">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FF0000"/>
          <w:kern w:val="0"/>
          <w:sz w:val="28"/>
          <w:szCs w:val="28"/>
          <w:highlight w:val="none"/>
        </w:rPr>
      </w:pPr>
      <w:r>
        <w:rPr>
          <w:rFonts w:hint="eastAsia" w:ascii="仿宋_GB2312" w:hAnsi="仿宋_GB2312" w:eastAsia="仿宋_GB2312" w:cs="仿宋_GB2312"/>
          <w:bCs/>
          <w:color w:val="auto"/>
          <w:kern w:val="0"/>
          <w:sz w:val="28"/>
          <w:szCs w:val="28"/>
          <w:highlight w:val="none"/>
        </w:rPr>
        <w:t>1</w:t>
      </w:r>
      <w:r>
        <w:rPr>
          <w:rFonts w:hint="eastAsia" w:ascii="仿宋_GB2312" w:hAnsi="仿宋_GB2312" w:eastAsia="仿宋_GB2312" w:cs="仿宋_GB2312"/>
          <w:bCs/>
          <w:color w:val="auto"/>
          <w:kern w:val="0"/>
          <w:sz w:val="28"/>
          <w:szCs w:val="28"/>
          <w:highlight w:val="none"/>
          <w:lang w:val="en-US" w:eastAsia="zh-CN"/>
        </w:rPr>
        <w:t>.</w:t>
      </w:r>
      <w:r>
        <w:rPr>
          <w:rFonts w:hint="eastAsia" w:ascii="仿宋_GB2312" w:hAnsi="仿宋_GB2312" w:eastAsia="仿宋_GB2312" w:cs="仿宋_GB2312"/>
          <w:bCs/>
          <w:color w:val="auto"/>
          <w:kern w:val="0"/>
          <w:sz w:val="28"/>
          <w:szCs w:val="28"/>
          <w:highlight w:val="none"/>
        </w:rPr>
        <w:t>质量要求：</w:t>
      </w:r>
      <w:r>
        <w:rPr>
          <w:rFonts w:hint="eastAsia" w:ascii="仿宋_GB2312" w:hAnsi="仿宋_GB2312" w:eastAsia="仿宋_GB2312" w:cs="仿宋_GB2312"/>
          <w:color w:val="auto"/>
          <w:spacing w:val="7"/>
          <w:kern w:val="0"/>
          <w:sz w:val="28"/>
          <w:szCs w:val="28"/>
          <w:highlight w:val="none"/>
          <w:shd w:val="clear" w:color="auto" w:fill="FFFFFF"/>
        </w:rPr>
        <w:t>投标人须提供符合采购需求、符合国家质量检测标准的原装合格产品。</w:t>
      </w:r>
    </w:p>
    <w:p w14:paraId="00236EC3">
      <w:pPr>
        <w:keepNext w:val="0"/>
        <w:keepLines w:val="0"/>
        <w:pageBreakBefore w:val="0"/>
        <w:kinsoku/>
        <w:wordWrap/>
        <w:overflowPunct/>
        <w:topLinePunct w:val="0"/>
        <w:autoSpaceDE/>
        <w:autoSpaceDN/>
        <w:bidi w:val="0"/>
        <w:snapToGrid w:val="0"/>
        <w:spacing w:line="400" w:lineRule="exact"/>
        <w:ind w:left="0" w:leftChars="0" w:right="0" w:rightChars="0" w:firstLine="588"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kern w:val="0"/>
          <w:sz w:val="28"/>
          <w:szCs w:val="28"/>
          <w:highlight w:val="none"/>
          <w:shd w:val="clear" w:color="auto" w:fill="FFFFFF"/>
        </w:rPr>
        <w:t>2</w:t>
      </w:r>
      <w:r>
        <w:rPr>
          <w:rFonts w:hint="eastAsia" w:ascii="仿宋_GB2312" w:hAnsi="仿宋_GB2312" w:eastAsia="仿宋_GB2312" w:cs="仿宋_GB2312"/>
          <w:color w:val="auto"/>
          <w:spacing w:val="7"/>
          <w:kern w:val="0"/>
          <w:sz w:val="28"/>
          <w:szCs w:val="28"/>
          <w:highlight w:val="none"/>
          <w:shd w:val="clear" w:color="auto" w:fill="FFFFFF"/>
          <w:lang w:val="en-US" w:eastAsia="zh-CN"/>
        </w:rPr>
        <w:t>.</w:t>
      </w:r>
      <w:r>
        <w:rPr>
          <w:rFonts w:hint="eastAsia" w:ascii="仿宋_GB2312" w:hAnsi="仿宋_GB2312" w:eastAsia="仿宋_GB2312" w:cs="仿宋_GB2312"/>
          <w:color w:val="auto"/>
          <w:spacing w:val="7"/>
          <w:kern w:val="0"/>
          <w:sz w:val="28"/>
          <w:szCs w:val="28"/>
          <w:highlight w:val="none"/>
          <w:shd w:val="clear" w:color="auto" w:fill="FFFFFF"/>
        </w:rPr>
        <w:t>供货周期要求：</w:t>
      </w:r>
      <w:r>
        <w:rPr>
          <w:rFonts w:hint="eastAsia" w:ascii="仿宋_GB2312" w:hAnsi="仿宋_GB2312" w:eastAsia="仿宋_GB2312" w:cs="仿宋_GB2312"/>
          <w:color w:val="auto"/>
          <w:sz w:val="28"/>
          <w:szCs w:val="28"/>
          <w:highlight w:val="none"/>
          <w:lang w:val="en-US" w:eastAsia="zh-CN"/>
        </w:rPr>
        <w:t>1年</w:t>
      </w:r>
      <w:r>
        <w:rPr>
          <w:rFonts w:hint="eastAsia" w:ascii="仿宋_GB2312" w:hAnsi="仿宋_GB2312" w:eastAsia="仿宋_GB2312" w:cs="仿宋_GB2312"/>
          <w:color w:val="auto"/>
          <w:spacing w:val="7"/>
          <w:kern w:val="0"/>
          <w:sz w:val="28"/>
          <w:szCs w:val="28"/>
          <w:highlight w:val="none"/>
          <w:shd w:val="clear" w:color="auto" w:fill="FFFFFF"/>
        </w:rPr>
        <w:t>。</w:t>
      </w:r>
      <w:r>
        <w:rPr>
          <w:rFonts w:hint="eastAsia" w:ascii="仿宋_GB2312" w:hAnsi="仿宋_GB2312" w:eastAsia="仿宋_GB2312" w:cs="仿宋_GB2312"/>
          <w:color w:val="auto"/>
          <w:sz w:val="28"/>
          <w:szCs w:val="28"/>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w:t>
      </w:r>
      <w:r>
        <w:rPr>
          <w:rFonts w:hint="eastAsia" w:ascii="仿宋_GB2312" w:hAnsi="仿宋_GB2312" w:eastAsia="仿宋_GB2312" w:cs="仿宋_GB2312"/>
          <w:color w:val="auto"/>
          <w:spacing w:val="7"/>
          <w:kern w:val="0"/>
          <w:sz w:val="28"/>
          <w:szCs w:val="28"/>
          <w:highlight w:val="none"/>
          <w:shd w:val="clear" w:color="auto" w:fill="FFFFFF"/>
        </w:rPr>
        <w:t>(上限15%)</w:t>
      </w:r>
      <w:r>
        <w:rPr>
          <w:rFonts w:hint="eastAsia" w:ascii="仿宋_GB2312" w:hAnsi="仿宋_GB2312" w:eastAsia="仿宋_GB2312" w:cs="仿宋_GB2312"/>
          <w:color w:val="auto"/>
          <w:sz w:val="28"/>
          <w:szCs w:val="28"/>
          <w:highlight w:val="none"/>
        </w:rPr>
        <w:t>，逾期超过15天或在供货期内逾期交货次数累计超过2次的，采购方有权终止本合同，并没收全额履约保证金，并有权要求供货方承担该笔订单金额的30%作为违约金。</w:t>
      </w:r>
    </w:p>
    <w:p w14:paraId="1E41405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color w:val="auto"/>
          <w:sz w:val="28"/>
          <w:szCs w:val="28"/>
          <w:highlight w:val="none"/>
        </w:rPr>
        <w:t>合同期限:自合同签订之日起壹年或采购金额满合同价后合同终止。</w:t>
      </w:r>
    </w:p>
    <w:p w14:paraId="6AF32A0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color w:val="auto"/>
          <w:spacing w:val="0"/>
          <w:kern w:val="0"/>
          <w:sz w:val="28"/>
          <w:szCs w:val="28"/>
          <w:highlight w:val="none"/>
        </w:rPr>
        <w:t>3</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交货与服务地点：</w:t>
      </w:r>
      <w:r>
        <w:rPr>
          <w:rFonts w:hint="eastAsia" w:ascii="仿宋_GB2312" w:hAnsi="仿宋_GB2312" w:eastAsia="仿宋_GB2312" w:cs="仿宋_GB2312"/>
          <w:bCs/>
          <w:color w:val="auto"/>
          <w:spacing w:val="0"/>
          <w:sz w:val="28"/>
          <w:szCs w:val="28"/>
          <w:highlight w:val="none"/>
        </w:rPr>
        <w:t>运输并卸货至采购人指定地点，并指导安装。</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bCs/>
          <w:color w:val="auto"/>
          <w:spacing w:val="0"/>
          <w:kern w:val="0"/>
          <w:sz w:val="28"/>
          <w:szCs w:val="28"/>
          <w:highlight w:val="none"/>
        </w:rPr>
        <w:t>4</w:t>
      </w:r>
      <w:r>
        <w:rPr>
          <w:rFonts w:hint="eastAsia" w:ascii="仿宋_GB2312" w:hAnsi="仿宋_GB2312" w:eastAsia="仿宋_GB2312" w:cs="仿宋_GB2312"/>
          <w:bCs/>
          <w:color w:val="auto"/>
          <w:spacing w:val="0"/>
          <w:kern w:val="0"/>
          <w:sz w:val="28"/>
          <w:szCs w:val="28"/>
          <w:highlight w:val="none"/>
          <w:lang w:val="en-US" w:eastAsia="zh-CN"/>
        </w:rPr>
        <w:t>.</w:t>
      </w:r>
      <w:r>
        <w:rPr>
          <w:rFonts w:hint="eastAsia" w:ascii="仿宋_GB2312" w:hAnsi="仿宋_GB2312" w:eastAsia="仿宋_GB2312" w:cs="仿宋_GB2312"/>
          <w:bCs/>
          <w:color w:val="auto"/>
          <w:spacing w:val="0"/>
          <w:kern w:val="0"/>
          <w:sz w:val="28"/>
          <w:szCs w:val="28"/>
          <w:highlight w:val="none"/>
        </w:rPr>
        <w:t>质保、售后服务要求：</w:t>
      </w:r>
      <w:r>
        <w:rPr>
          <w:rFonts w:hint="eastAsia" w:ascii="仿宋_GB2312" w:hAnsi="仿宋_GB2312" w:eastAsia="仿宋_GB2312" w:cs="仿宋_GB2312"/>
          <w:color w:val="auto"/>
          <w:spacing w:val="0"/>
          <w:kern w:val="0"/>
          <w:sz w:val="28"/>
          <w:szCs w:val="28"/>
          <w:highlight w:val="none"/>
          <w:shd w:val="clear" w:color="auto" w:fill="FFFFFF"/>
        </w:rPr>
        <w:t>供应商报价时须承诺所供货物的免费质保期为</w:t>
      </w:r>
      <w:r>
        <w:rPr>
          <w:rFonts w:hint="eastAsia" w:ascii="仿宋_GB2312" w:hAnsi="仿宋_GB2312" w:eastAsia="仿宋_GB2312" w:cs="仿宋_GB2312"/>
          <w:color w:val="auto"/>
          <w:spacing w:val="0"/>
          <w:kern w:val="0"/>
          <w:sz w:val="28"/>
          <w:szCs w:val="28"/>
          <w:highlight w:val="none"/>
          <w:shd w:val="clear" w:color="auto" w:fill="FFFFFF"/>
          <w:lang w:val="en-US" w:eastAsia="zh-CN"/>
        </w:rPr>
        <w:t>2</w:t>
      </w:r>
      <w:r>
        <w:rPr>
          <w:rFonts w:hint="eastAsia" w:ascii="仿宋_GB2312" w:hAnsi="仿宋_GB2312" w:eastAsia="仿宋_GB2312" w:cs="仿宋_GB2312"/>
          <w:color w:val="auto"/>
          <w:spacing w:val="0"/>
          <w:kern w:val="0"/>
          <w:sz w:val="28"/>
          <w:szCs w:val="28"/>
          <w:highlight w:val="none"/>
          <w:shd w:val="clear" w:color="auto" w:fill="FFFFFF"/>
        </w:rPr>
        <w:t>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w:t>
      </w:r>
      <w:r>
        <w:rPr>
          <w:rFonts w:hint="eastAsia" w:ascii="仿宋_GB2312" w:hAnsi="仿宋_GB2312" w:eastAsia="仿宋_GB2312" w:cs="仿宋_GB2312"/>
          <w:color w:val="auto"/>
          <w:spacing w:val="0"/>
          <w:kern w:val="0"/>
          <w:sz w:val="28"/>
          <w:szCs w:val="28"/>
          <w:highlight w:val="none"/>
          <w:shd w:val="clear" w:color="auto" w:fill="FFFFFF"/>
          <w:lang w:val="en-US" w:eastAsia="zh-CN"/>
        </w:rPr>
        <w:t>我</w:t>
      </w:r>
      <w:r>
        <w:rPr>
          <w:rFonts w:hint="eastAsia" w:ascii="仿宋_GB2312" w:hAnsi="仿宋_GB2312" w:eastAsia="仿宋_GB2312" w:cs="仿宋_GB2312"/>
          <w:color w:val="auto"/>
          <w:spacing w:val="0"/>
          <w:kern w:val="0"/>
          <w:sz w:val="28"/>
          <w:szCs w:val="28"/>
          <w:highlight w:val="none"/>
          <w:shd w:val="clear" w:color="auto" w:fill="FFFFFF"/>
        </w:rPr>
        <w:t>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请于2025年11月24日上午10:30时前携报价资料在启东市汇龙镇金沙江路672号启东市城投集团二楼开标室参与投标报价。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bookmarkStart w:id="0" w:name="_GoBack"/>
      <w:bookmarkEnd w:id="0"/>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0E62AB3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人民币315611.00元（大写：叁拾壹万伍仟陆佰壹拾壹元整）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w:t>
      </w:r>
      <w:r>
        <w:rPr>
          <w:rFonts w:hint="eastAsia" w:asciiTheme="minorEastAsia" w:hAnsiTheme="minorEastAsia" w:eastAsiaTheme="minorEastAsia" w:cstheme="minorEastAsia"/>
          <w:b/>
          <w:bCs/>
          <w:color w:val="auto"/>
          <w:sz w:val="30"/>
          <w:szCs w:val="30"/>
          <w:u w:val="single"/>
          <w:lang w:val="en-US" w:eastAsia="zh-CN"/>
        </w:rPr>
        <w:t>投标报价保留两位小数</w:t>
      </w:r>
      <w:r>
        <w:rPr>
          <w:rFonts w:hint="eastAsia" w:asciiTheme="minorEastAsia" w:hAnsiTheme="minorEastAsia" w:eastAsiaTheme="minorEastAsia" w:cstheme="minorEastAsia"/>
          <w:b/>
          <w:bCs/>
          <w:color w:val="auto"/>
          <w:sz w:val="30"/>
          <w:szCs w:val="30"/>
          <w:lang w:val="en-US" w:eastAsia="zh-CN"/>
        </w:rPr>
        <w:t>，否则为无效报价，作废标处理。</w:t>
      </w:r>
    </w:p>
    <w:p w14:paraId="2B43F57B">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Theme="minorEastAsia" w:hAnsiTheme="minorEastAsia" w:eastAsiaTheme="minorEastAsia" w:cstheme="minorEastAsia"/>
          <w:b/>
          <w:bCs/>
          <w:color w:val="auto"/>
          <w:sz w:val="30"/>
          <w:szCs w:val="30"/>
          <w:lang w:val="en-US" w:eastAsia="zh-CN"/>
        </w:rPr>
        <w:t>六、报价费用说明：</w:t>
      </w:r>
    </w:p>
    <w:p w14:paraId="6C4C4316">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2"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lang w:val="en-US" w:eastAsia="zh-CN"/>
        </w:rPr>
        <w:t>1</w:t>
      </w: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rPr>
        <w:t>各投标人每项的分项综合单价报价与分项单价最高限价相比的下浮率必须一致，否则，作无效标处理。</w:t>
      </w:r>
    </w:p>
    <w:p w14:paraId="48D6B273">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lang w:val="en-US" w:eastAsia="zh-CN"/>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37009776">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lang w:val="en-US" w:eastAsia="zh-CN"/>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3）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各供应商在报价时请充分考虑各种因素。</w:t>
      </w:r>
    </w:p>
    <w:p w14:paraId="67AB3661">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黑体" w:hAnsi="黑体" w:eastAsia="黑体" w:cs="黑体"/>
          <w:b w:val="0"/>
          <w:bCs w:val="0"/>
          <w:color w:val="auto"/>
          <w:spacing w:val="0"/>
          <w:kern w:val="0"/>
          <w:sz w:val="28"/>
          <w:szCs w:val="28"/>
          <w:highlight w:val="none"/>
          <w:shd w:val="clear" w:color="auto" w:fill="FFFFFF"/>
          <w:lang w:val="en-US" w:eastAsia="zh-CN"/>
        </w:rPr>
        <w:t>七、履约保证金交纳要求：</w:t>
      </w:r>
      <w:r>
        <w:rPr>
          <w:rFonts w:hint="eastAsia" w:ascii="仿宋_GB2312" w:hAnsi="仿宋_GB2312" w:eastAsia="仿宋_GB2312" w:cs="仿宋_GB2312"/>
          <w:color w:val="auto"/>
          <w:spacing w:val="0"/>
          <w:sz w:val="28"/>
          <w:szCs w:val="28"/>
          <w:highlight w:val="none"/>
        </w:rPr>
        <w:t>成交金额的10%。成交供应商</w:t>
      </w:r>
      <w:r>
        <w:rPr>
          <w:rFonts w:hint="eastAsia" w:ascii="仿宋_GB2312" w:hAnsi="仿宋_GB2312" w:eastAsia="仿宋_GB2312" w:cs="仿宋_GB2312"/>
          <w:color w:val="auto"/>
          <w:spacing w:val="0"/>
          <w:sz w:val="28"/>
          <w:szCs w:val="28"/>
        </w:rPr>
        <w:t>须在签订合同前向招标人足额提交履约保证金，否则招标人可以取消其中标资格。</w:t>
      </w:r>
    </w:p>
    <w:p w14:paraId="5C8D2625">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提交形式：数字人民币或银行汇票或银行转账或履约保函。如履约保证金为保函的，其期限应与</w:t>
      </w:r>
      <w:r>
        <w:rPr>
          <w:rFonts w:hint="eastAsia" w:ascii="仿宋_GB2312" w:hAnsi="仿宋_GB2312" w:eastAsia="仿宋_GB2312" w:cs="仿宋_GB2312"/>
          <w:color w:val="auto"/>
          <w:spacing w:val="0"/>
          <w:sz w:val="28"/>
          <w:szCs w:val="28"/>
          <w:lang w:val="en-US" w:eastAsia="zh-CN"/>
        </w:rPr>
        <w:t>实际供货周期</w:t>
      </w:r>
      <w:r>
        <w:rPr>
          <w:rFonts w:hint="eastAsia" w:ascii="仿宋_GB2312" w:hAnsi="仿宋_GB2312" w:eastAsia="仿宋_GB2312" w:cs="仿宋_GB2312"/>
          <w:color w:val="auto"/>
          <w:spacing w:val="0"/>
          <w:sz w:val="28"/>
          <w:szCs w:val="28"/>
        </w:rPr>
        <w:t>一致，因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w:t>
      </w:r>
      <w:r>
        <w:rPr>
          <w:rFonts w:hint="eastAsia" w:ascii="仿宋_GB2312" w:hAnsi="仿宋_GB2312" w:eastAsia="仿宋_GB2312" w:cs="仿宋_GB2312"/>
          <w:color w:val="auto"/>
          <w:spacing w:val="0"/>
          <w:sz w:val="28"/>
          <w:szCs w:val="28"/>
        </w:rPr>
        <w:t>期延长的，继续提供履约担保所增加的费用由</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承担；非因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供货周</w:t>
      </w:r>
      <w:r>
        <w:rPr>
          <w:rFonts w:hint="eastAsia" w:ascii="仿宋_GB2312" w:hAnsi="仿宋_GB2312" w:eastAsia="仿宋_GB2312" w:cs="仿宋_GB2312"/>
          <w:color w:val="auto"/>
          <w:spacing w:val="0"/>
          <w:sz w:val="28"/>
          <w:szCs w:val="28"/>
        </w:rPr>
        <w:t>期延长的，继续提供履约担保所增加的费用由发包人承担；如发生保函无效或到期未提前续保等不能赔付情形的，招标人有权要求</w:t>
      </w:r>
      <w:r>
        <w:rPr>
          <w:rFonts w:hint="eastAsia" w:ascii="仿宋_GB2312" w:hAnsi="仿宋_GB2312" w:eastAsia="仿宋_GB2312" w:cs="仿宋_GB2312"/>
          <w:color w:val="auto"/>
          <w:spacing w:val="0"/>
          <w:sz w:val="28"/>
          <w:szCs w:val="28"/>
          <w:lang w:val="en-US" w:eastAsia="zh-CN"/>
        </w:rPr>
        <w:t>中标人</w:t>
      </w:r>
      <w:r>
        <w:rPr>
          <w:rFonts w:hint="eastAsia" w:ascii="仿宋_GB2312" w:hAnsi="仿宋_GB2312" w:eastAsia="仿宋_GB2312" w:cs="仿宋_GB2312"/>
          <w:color w:val="auto"/>
          <w:spacing w:val="0"/>
          <w:sz w:val="28"/>
          <w:szCs w:val="28"/>
        </w:rPr>
        <w:t>现金转账或在应付款中直接扣除保函金额并转为履约保证金。</w:t>
      </w:r>
    </w:p>
    <w:p w14:paraId="3E1299A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成交供应商全部履约合同义务，经采购单位验收合格无质量、进度等问题的，采购人在</w:t>
      </w:r>
      <w:r>
        <w:rPr>
          <w:rFonts w:hint="eastAsia" w:ascii="仿宋_GB2312" w:hAnsi="仿宋_GB2312" w:eastAsia="仿宋_GB2312" w:cs="仿宋_GB2312"/>
          <w:color w:val="auto"/>
          <w:spacing w:val="0"/>
          <w:kern w:val="0"/>
          <w:sz w:val="28"/>
          <w:szCs w:val="28"/>
          <w:highlight w:val="none"/>
          <w:shd w:val="clear" w:color="auto" w:fill="FFFFFF"/>
        </w:rPr>
        <w:t>履约期结束且</w:t>
      </w:r>
      <w:r>
        <w:rPr>
          <w:rFonts w:hint="eastAsia" w:ascii="仿宋_GB2312" w:hAnsi="仿宋_GB2312" w:eastAsia="仿宋_GB2312" w:cs="仿宋_GB2312"/>
          <w:color w:val="auto"/>
          <w:spacing w:val="0"/>
          <w:sz w:val="28"/>
          <w:szCs w:val="28"/>
          <w:highlight w:val="none"/>
        </w:rPr>
        <w:t>验收合格后一次性退还履约保证金。</w:t>
      </w:r>
    </w:p>
    <w:p w14:paraId="4F3D2547">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发生以下情况的，履约保证金不予退还或部分退还：</w:t>
      </w:r>
    </w:p>
    <w:p w14:paraId="17C3E07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color w:val="auto"/>
          <w:spacing w:val="0"/>
          <w:sz w:val="28"/>
          <w:szCs w:val="28"/>
          <w:highlight w:val="none"/>
        </w:rPr>
        <w:t>（3）如由于成交供应商原因，中途停止供货的，履约保证金不予退还。</w:t>
      </w:r>
    </w:p>
    <w:p w14:paraId="7DDC739E">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黑体" w:hAnsi="黑体" w:eastAsia="黑体" w:cs="黑体"/>
          <w:b w:val="0"/>
          <w:bCs w:val="0"/>
          <w:color w:val="auto"/>
          <w:spacing w:val="0"/>
          <w:kern w:val="0"/>
          <w:sz w:val="28"/>
          <w:szCs w:val="28"/>
          <w:highlight w:val="none"/>
          <w:shd w:val="clear" w:color="auto" w:fill="FFFFFF"/>
          <w:lang w:val="en-US" w:eastAsia="zh-CN"/>
        </w:rPr>
        <w:t>八、成交原则：</w:t>
      </w:r>
      <w:r>
        <w:rPr>
          <w:rFonts w:hint="eastAsia" w:ascii="仿宋_GB2312" w:hAnsi="仿宋_GB2312" w:eastAsia="仿宋_GB2312" w:cs="仿宋_GB2312"/>
          <w:bCs/>
          <w:color w:val="auto"/>
          <w:spacing w:val="0"/>
          <w:sz w:val="28"/>
          <w:szCs w:val="28"/>
          <w:highlight w:val="none"/>
        </w:rPr>
        <w:t>符合采购需求且总报价最低者成交。若报价最低者有相同时，则通过抽签方式确定成交供应商。</w:t>
      </w:r>
    </w:p>
    <w:p w14:paraId="33C560B9">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bCs/>
          <w:color w:val="auto"/>
          <w:spacing w:val="0"/>
          <w:sz w:val="28"/>
          <w:szCs w:val="28"/>
          <w:highlight w:val="none"/>
          <w:lang w:val="zh-CN"/>
        </w:rPr>
        <w:t>当成交供应商放弃</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、因不可抗力不能履行合同、不按照</w:t>
      </w:r>
      <w:r>
        <w:rPr>
          <w:rFonts w:hint="eastAsia" w:ascii="仿宋_GB2312" w:hAnsi="仿宋_GB2312" w:eastAsia="仿宋_GB2312" w:cs="仿宋_GB2312"/>
          <w:bCs/>
          <w:color w:val="auto"/>
          <w:spacing w:val="0"/>
          <w:sz w:val="28"/>
          <w:szCs w:val="28"/>
          <w:highlight w:val="none"/>
        </w:rPr>
        <w:t>询价</w:t>
      </w:r>
      <w:r>
        <w:rPr>
          <w:rFonts w:hint="eastAsia" w:ascii="仿宋_GB2312" w:hAnsi="仿宋_GB2312" w:eastAsia="仿宋_GB2312" w:cs="仿宋_GB2312"/>
          <w:bCs/>
          <w:color w:val="auto"/>
          <w:spacing w:val="0"/>
          <w:sz w:val="28"/>
          <w:szCs w:val="28"/>
          <w:highlight w:val="none"/>
          <w:lang w:val="zh-CN"/>
        </w:rPr>
        <w:t>文件要求提交履约保证金，或者被查实存在影响</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结果的违法行为等情形，不符合</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pacing w:val="0"/>
          <w:kern w:val="0"/>
          <w:sz w:val="28"/>
          <w:szCs w:val="28"/>
          <w:highlight w:val="none"/>
          <w:shd w:val="clear" w:color="auto" w:fill="FFFFFF"/>
          <w:lang w:val="en-US" w:eastAsia="zh-CN"/>
        </w:rPr>
      </w:pPr>
      <w:r>
        <w:rPr>
          <w:rFonts w:hint="eastAsia" w:ascii="黑体" w:hAnsi="黑体" w:eastAsia="黑体" w:cs="黑体"/>
          <w:b w:val="0"/>
          <w:bCs w:val="0"/>
          <w:color w:val="auto"/>
          <w:spacing w:val="0"/>
          <w:kern w:val="0"/>
          <w:sz w:val="28"/>
          <w:szCs w:val="28"/>
          <w:highlight w:val="none"/>
          <w:shd w:val="clear" w:color="auto" w:fill="FFFFFF"/>
          <w:lang w:val="en-US" w:eastAsia="zh-CN"/>
        </w:rPr>
        <w:t>九、付款方式：</w:t>
      </w:r>
    </w:p>
    <w:p w14:paraId="3228AD9F">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1</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2</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采购资金的支付时间、条件：</w:t>
      </w:r>
    </w:p>
    <w:p w14:paraId="78E74F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Style w:val="10"/>
          <w:rFonts w:hint="eastAsia" w:ascii="仿宋_GB2312" w:hAnsi="仿宋_GB2312" w:eastAsia="仿宋_GB2312" w:cs="仿宋_GB2312"/>
          <w:b w:val="0"/>
          <w:bCs w:val="0"/>
          <w:color w:val="auto"/>
          <w:spacing w:val="0"/>
          <w:kern w:val="0"/>
          <w:sz w:val="28"/>
          <w:szCs w:val="28"/>
          <w:highlight w:val="none"/>
          <w:lang w:val="en-US" w:eastAsia="zh-CN"/>
        </w:rPr>
      </w:pPr>
      <w:r>
        <w:rPr>
          <w:rStyle w:val="10"/>
          <w:rFonts w:hint="eastAsia" w:ascii="仿宋_GB2312" w:hAnsi="仿宋_GB2312" w:eastAsia="仿宋_GB2312" w:cs="仿宋_GB2312"/>
          <w:b w:val="0"/>
          <w:bCs w:val="0"/>
          <w:color w:val="auto"/>
          <w:spacing w:val="0"/>
          <w:kern w:val="0"/>
          <w:sz w:val="28"/>
          <w:szCs w:val="28"/>
          <w:highlight w:val="none"/>
        </w:rPr>
        <w:t>本次采购量为预估量，最终结算按每次实际采购量计，每次供货完毕并经验收合格后，</w:t>
      </w:r>
      <w:r>
        <w:rPr>
          <w:rStyle w:val="10"/>
          <w:rFonts w:hint="eastAsia" w:ascii="仿宋_GB2312" w:hAnsi="仿宋_GB2312" w:eastAsia="仿宋_GB2312" w:cs="仿宋_GB2312"/>
          <w:b w:val="0"/>
          <w:bCs w:val="0"/>
          <w:color w:val="auto"/>
          <w:spacing w:val="0"/>
          <w:kern w:val="0"/>
          <w:sz w:val="28"/>
          <w:szCs w:val="28"/>
          <w:highlight w:val="none"/>
          <w:lang w:val="en-US" w:eastAsia="zh-CN"/>
        </w:rPr>
        <w:t>采购方通知并</w:t>
      </w:r>
      <w:r>
        <w:rPr>
          <w:rStyle w:val="10"/>
          <w:rFonts w:hint="eastAsia" w:ascii="仿宋_GB2312" w:hAnsi="仿宋_GB2312" w:eastAsia="仿宋_GB2312" w:cs="仿宋_GB2312"/>
          <w:b w:val="0"/>
          <w:bCs w:val="0"/>
          <w:color w:val="auto"/>
          <w:spacing w:val="0"/>
          <w:kern w:val="0"/>
          <w:sz w:val="28"/>
          <w:szCs w:val="28"/>
          <w:highlight w:val="none"/>
        </w:rPr>
        <w:t>收到</w:t>
      </w:r>
      <w:r>
        <w:rPr>
          <w:rStyle w:val="10"/>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10"/>
          <w:rFonts w:hint="eastAsia" w:ascii="仿宋_GB2312" w:hAnsi="仿宋_GB2312" w:eastAsia="仿宋_GB2312" w:cs="仿宋_GB2312"/>
          <w:b w:val="0"/>
          <w:bCs w:val="0"/>
          <w:color w:val="auto"/>
          <w:spacing w:val="0"/>
          <w:kern w:val="0"/>
          <w:sz w:val="28"/>
          <w:szCs w:val="28"/>
          <w:highlight w:val="none"/>
        </w:rPr>
        <w:t>相应的增值税专用发票后30天内支付该批订单的</w:t>
      </w:r>
      <w:r>
        <w:rPr>
          <w:rStyle w:val="10"/>
          <w:rFonts w:hint="eastAsia" w:ascii="仿宋_GB2312" w:hAnsi="仿宋_GB2312" w:eastAsia="仿宋_GB2312" w:cs="仿宋_GB2312"/>
          <w:b w:val="0"/>
          <w:bCs w:val="0"/>
          <w:color w:val="auto"/>
          <w:spacing w:val="0"/>
          <w:kern w:val="0"/>
          <w:sz w:val="28"/>
          <w:szCs w:val="28"/>
          <w:highlight w:val="none"/>
          <w:lang w:val="en-US" w:eastAsia="zh-CN"/>
        </w:rPr>
        <w:t>9</w:t>
      </w:r>
      <w:r>
        <w:rPr>
          <w:rStyle w:val="10"/>
          <w:rFonts w:hint="eastAsia" w:ascii="仿宋_GB2312" w:hAnsi="仿宋_GB2312" w:eastAsia="仿宋_GB2312" w:cs="仿宋_GB2312"/>
          <w:b w:val="0"/>
          <w:bCs w:val="0"/>
          <w:color w:val="auto"/>
          <w:spacing w:val="0"/>
          <w:kern w:val="0"/>
          <w:sz w:val="28"/>
          <w:szCs w:val="28"/>
          <w:highlight w:val="none"/>
        </w:rPr>
        <w:t>0%货款，合同期内所供货物的余款于质保期结束后收到</w:t>
      </w:r>
      <w:r>
        <w:rPr>
          <w:rStyle w:val="10"/>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10"/>
          <w:rFonts w:hint="eastAsia" w:ascii="仿宋_GB2312" w:hAnsi="仿宋_GB2312" w:eastAsia="仿宋_GB2312" w:cs="仿宋_GB2312"/>
          <w:b w:val="0"/>
          <w:bCs w:val="0"/>
          <w:color w:val="auto"/>
          <w:spacing w:val="0"/>
          <w:kern w:val="0"/>
          <w:sz w:val="28"/>
          <w:szCs w:val="28"/>
          <w:highlight w:val="none"/>
        </w:rPr>
        <w:t>相应的增值税专用发票后</w:t>
      </w:r>
      <w:r>
        <w:rPr>
          <w:rStyle w:val="10"/>
          <w:rFonts w:hint="eastAsia" w:ascii="仿宋_GB2312" w:hAnsi="仿宋_GB2312" w:eastAsia="仿宋_GB2312" w:cs="仿宋_GB2312"/>
          <w:b w:val="0"/>
          <w:bCs w:val="0"/>
          <w:color w:val="auto"/>
          <w:spacing w:val="0"/>
          <w:kern w:val="0"/>
          <w:sz w:val="28"/>
          <w:szCs w:val="28"/>
          <w:highlight w:val="none"/>
          <w:lang w:val="en-US" w:eastAsia="zh-CN"/>
        </w:rPr>
        <w:t>一次性付清。</w:t>
      </w:r>
    </w:p>
    <w:p w14:paraId="6E715A12">
      <w:pPr>
        <w:pStyle w:val="2"/>
        <w:rPr>
          <w:rFonts w:hint="eastAsia" w:ascii="仿宋_GB2312" w:hAnsi="仿宋_GB2312" w:eastAsia="仿宋_GB2312" w:cs="仿宋_GB2312"/>
          <w:b/>
          <w:bCs w:val="0"/>
          <w:color w:val="auto"/>
          <w:spacing w:val="0"/>
          <w:sz w:val="28"/>
          <w:szCs w:val="28"/>
          <w:highlight w:val="none"/>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6641BF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p>
    <w:p w14:paraId="27887321">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p>
    <w:p w14:paraId="08A6288C">
      <w:pPr>
        <w:pStyle w:val="2"/>
        <w:rPr>
          <w:rFonts w:hint="eastAsia"/>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2025年11月18日</w:t>
      </w:r>
    </w:p>
    <w:p w14:paraId="7C875ABC">
      <w:pPr>
        <w:rPr>
          <w:rFonts w:hint="eastAsia" w:ascii="仿宋_GB2312" w:hAnsi="仿宋_GB2312" w:eastAsia="仿宋_GB2312" w:cs="仿宋_GB2312"/>
          <w:b/>
          <w:bCs w:val="0"/>
          <w:color w:val="auto"/>
          <w:spacing w:val="0"/>
          <w:sz w:val="28"/>
          <w:szCs w:val="28"/>
          <w:highlight w:val="none"/>
          <w:lang w:val="en-US" w:eastAsia="zh-CN"/>
        </w:rPr>
      </w:pPr>
    </w:p>
    <w:p w14:paraId="02A7297A">
      <w:pPr>
        <w:pStyle w:val="2"/>
        <w:rPr>
          <w:rFonts w:hint="eastAsia"/>
          <w:lang w:val="en-US" w:eastAsia="zh-CN"/>
        </w:rPr>
      </w:pPr>
    </w:p>
    <w:p w14:paraId="7BD29C4C">
      <w:pPr>
        <w:rPr>
          <w:rFonts w:hint="eastAsia" w:ascii="黑体" w:hAnsi="黑体" w:eastAsia="黑体" w:cs="黑体"/>
          <w:b w:val="0"/>
          <w:bCs w:val="0"/>
          <w:color w:val="auto"/>
          <w:spacing w:val="0"/>
          <w:kern w:val="0"/>
          <w:sz w:val="28"/>
          <w:szCs w:val="28"/>
          <w:highlight w:val="none"/>
          <w:shd w:val="clear" w:color="auto" w:fill="FFFFFF"/>
        </w:rPr>
      </w:pPr>
      <w:r>
        <w:rPr>
          <w:rFonts w:hint="eastAsia" w:ascii="黑体" w:hAnsi="黑体" w:eastAsia="黑体" w:cs="黑体"/>
          <w:b w:val="0"/>
          <w:bCs w:val="0"/>
          <w:color w:val="auto"/>
          <w:spacing w:val="0"/>
          <w:kern w:val="0"/>
          <w:sz w:val="28"/>
          <w:szCs w:val="28"/>
          <w:highlight w:val="none"/>
          <w:shd w:val="clear" w:color="auto" w:fill="FFFFFF"/>
        </w:rPr>
        <w:br w:type="page"/>
      </w:r>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776E636">
      <w:pPr>
        <w:pStyle w:val="2"/>
        <w:rPr>
          <w:rFonts w:hint="default"/>
          <w:lang w:val="en-US" w:eastAsia="zh-CN"/>
        </w:rPr>
      </w:pPr>
      <w:r>
        <w:rPr>
          <w:rFonts w:hint="eastAsia" w:ascii="方正小标宋_GBK" w:hAnsi="方正小标宋_GBK" w:eastAsia="方正小标宋_GBK" w:cs="方正小标宋_GBK"/>
          <w:b/>
          <w:bCs/>
          <w:sz w:val="36"/>
          <w:szCs w:val="36"/>
          <w:lang w:val="en-US" w:eastAsia="zh-CN"/>
        </w:rPr>
        <w:t>复合表箱、检查井盖2025-2026年度采购项目报价单</w:t>
      </w:r>
    </w:p>
    <w:tbl>
      <w:tblPr>
        <w:tblStyle w:val="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656"/>
        <w:gridCol w:w="1179"/>
        <w:gridCol w:w="1545"/>
        <w:gridCol w:w="1116"/>
        <w:gridCol w:w="1130"/>
        <w:gridCol w:w="1631"/>
        <w:gridCol w:w="1424"/>
        <w:gridCol w:w="954"/>
      </w:tblGrid>
      <w:tr w14:paraId="73C7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37" w:hRule="atLeast"/>
          <w:jc w:val="center"/>
        </w:trPr>
        <w:tc>
          <w:tcPr>
            <w:tcW w:w="656" w:type="dxa"/>
            <w:shd w:val="clear" w:color="auto" w:fill="auto"/>
            <w:noWrap/>
            <w:vAlign w:val="center"/>
          </w:tcPr>
          <w:p w14:paraId="50DBFA3D">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序号</w:t>
            </w:r>
          </w:p>
        </w:tc>
        <w:tc>
          <w:tcPr>
            <w:tcW w:w="1179" w:type="dxa"/>
            <w:shd w:val="clear" w:color="auto" w:fill="auto"/>
            <w:noWrap/>
            <w:vAlign w:val="center"/>
          </w:tcPr>
          <w:p w14:paraId="27E014EB">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材料名称</w:t>
            </w:r>
          </w:p>
        </w:tc>
        <w:tc>
          <w:tcPr>
            <w:tcW w:w="1545" w:type="dxa"/>
            <w:shd w:val="clear" w:color="auto" w:fill="auto"/>
            <w:noWrap/>
            <w:vAlign w:val="center"/>
          </w:tcPr>
          <w:p w14:paraId="5AD1A788">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规格/型号</w:t>
            </w:r>
          </w:p>
        </w:tc>
        <w:tc>
          <w:tcPr>
            <w:tcW w:w="1116" w:type="dxa"/>
            <w:shd w:val="clear" w:color="auto" w:fill="auto"/>
            <w:noWrap/>
            <w:vAlign w:val="center"/>
          </w:tcPr>
          <w:p w14:paraId="68481D43">
            <w:pPr>
              <w:keepNext w:val="0"/>
              <w:keepLines w:val="0"/>
              <w:widowControl/>
              <w:suppressLineNumbers w:val="0"/>
              <w:jc w:val="center"/>
              <w:textAlignment w:val="center"/>
              <w:rPr>
                <w:rFonts w:ascii="宋体" w:hAnsi="宋体" w:cs="宋体"/>
                <w:b/>
                <w:bCs/>
                <w:sz w:val="22"/>
                <w:szCs w:val="22"/>
              </w:rPr>
            </w:pPr>
            <w:r>
              <w:rPr>
                <w:rFonts w:ascii="宋体" w:hAnsi="宋体" w:eastAsia="宋体" w:cs="宋体"/>
                <w:b/>
                <w:bCs/>
                <w:i w:val="0"/>
                <w:iCs w:val="0"/>
                <w:color w:val="000000"/>
                <w:kern w:val="0"/>
                <w:sz w:val="22"/>
                <w:szCs w:val="22"/>
                <w:u w:val="none"/>
                <w:lang w:val="en-US" w:eastAsia="zh-CN" w:bidi="ar"/>
              </w:rPr>
              <w:t>计量单位</w:t>
            </w:r>
          </w:p>
        </w:tc>
        <w:tc>
          <w:tcPr>
            <w:tcW w:w="1130" w:type="dxa"/>
            <w:shd w:val="clear" w:color="auto" w:fill="auto"/>
            <w:noWrap/>
            <w:vAlign w:val="center"/>
          </w:tcPr>
          <w:p w14:paraId="307C205B">
            <w:pPr>
              <w:keepNext w:val="0"/>
              <w:keepLines w:val="0"/>
              <w:widowControl/>
              <w:suppressLineNumbers w:val="0"/>
              <w:jc w:val="center"/>
              <w:textAlignment w:val="center"/>
              <w:rPr>
                <w:rFonts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预估用量</w:t>
            </w:r>
          </w:p>
        </w:tc>
        <w:tc>
          <w:tcPr>
            <w:tcW w:w="1631" w:type="dxa"/>
            <w:shd w:val="clear" w:color="auto" w:fill="auto"/>
            <w:noWrap/>
            <w:vAlign w:val="center"/>
          </w:tcPr>
          <w:p w14:paraId="3D5310A8">
            <w:pPr>
              <w:keepNext w:val="0"/>
              <w:keepLines w:val="0"/>
              <w:widowControl/>
              <w:suppressLineNumbers w:val="0"/>
              <w:jc w:val="center"/>
              <w:textAlignment w:val="center"/>
              <w:rPr>
                <w:rFonts w:hint="eastAsia" w:ascii="宋体" w:hAnsi="宋体" w:cs="宋体"/>
                <w:b/>
                <w:bCs/>
                <w:kern w:val="0"/>
                <w:sz w:val="22"/>
                <w:szCs w:val="22"/>
              </w:rPr>
            </w:pPr>
            <w:r>
              <w:rPr>
                <w:rFonts w:ascii="宋体" w:hAnsi="宋体" w:eastAsia="宋体" w:cs="宋体"/>
                <w:b/>
                <w:bCs/>
                <w:i w:val="0"/>
                <w:iCs w:val="0"/>
                <w:color w:val="000000"/>
                <w:kern w:val="0"/>
                <w:sz w:val="22"/>
                <w:szCs w:val="22"/>
                <w:u w:val="none"/>
                <w:lang w:val="en-US" w:eastAsia="zh-CN" w:bidi="ar"/>
              </w:rPr>
              <w:t>综合单价(元)</w:t>
            </w:r>
          </w:p>
        </w:tc>
        <w:tc>
          <w:tcPr>
            <w:tcW w:w="1424" w:type="dxa"/>
            <w:shd w:val="clear" w:color="auto" w:fill="auto"/>
            <w:noWrap/>
            <w:vAlign w:val="center"/>
          </w:tcPr>
          <w:p w14:paraId="426D5181">
            <w:pPr>
              <w:keepNext w:val="0"/>
              <w:keepLines w:val="0"/>
              <w:widowControl/>
              <w:suppressLineNumbers w:val="0"/>
              <w:jc w:val="center"/>
              <w:textAlignment w:val="center"/>
              <w:rPr>
                <w:rFonts w:ascii="宋体" w:hAnsi="宋体" w:cs="宋体"/>
                <w:b/>
                <w:bCs/>
                <w:kern w:val="0"/>
                <w:sz w:val="22"/>
                <w:szCs w:val="22"/>
              </w:rPr>
            </w:pPr>
            <w:r>
              <w:rPr>
                <w:rStyle w:val="13"/>
                <w:b/>
                <w:bCs/>
                <w:sz w:val="22"/>
                <w:szCs w:val="22"/>
                <w:lang w:val="en-US" w:eastAsia="zh-CN" w:bidi="ar"/>
              </w:rPr>
              <w:t>合计(元)</w:t>
            </w:r>
          </w:p>
        </w:tc>
        <w:tc>
          <w:tcPr>
            <w:tcW w:w="954" w:type="dxa"/>
            <w:shd w:val="clear" w:color="auto" w:fill="auto"/>
            <w:noWrap/>
            <w:vAlign w:val="center"/>
          </w:tcPr>
          <w:p w14:paraId="1235E029">
            <w:pPr>
              <w:widowControl/>
              <w:snapToGrid w:val="0"/>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574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3CDAD6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 </w:t>
            </w:r>
          </w:p>
        </w:tc>
        <w:tc>
          <w:tcPr>
            <w:tcW w:w="1179" w:type="dxa"/>
            <w:shd w:val="clear" w:color="auto" w:fill="auto"/>
            <w:noWrap/>
            <w:vAlign w:val="center"/>
          </w:tcPr>
          <w:p w14:paraId="6DBCB95A">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41B34AD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500*300(10T)</w:t>
            </w:r>
          </w:p>
        </w:tc>
        <w:tc>
          <w:tcPr>
            <w:tcW w:w="1116" w:type="dxa"/>
            <w:shd w:val="clear" w:color="auto" w:fill="auto"/>
            <w:noWrap/>
            <w:vAlign w:val="center"/>
          </w:tcPr>
          <w:p w14:paraId="6053622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46A8ECF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500 </w:t>
            </w:r>
          </w:p>
        </w:tc>
        <w:tc>
          <w:tcPr>
            <w:tcW w:w="1631" w:type="dxa"/>
            <w:shd w:val="clear" w:color="auto" w:fill="auto"/>
            <w:noWrap/>
            <w:vAlign w:val="center"/>
          </w:tcPr>
          <w:p w14:paraId="6C1C3F4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6C23705">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restart"/>
            <w:shd w:val="clear" w:color="auto" w:fill="auto"/>
            <w:noWrap/>
            <w:vAlign w:val="center"/>
          </w:tcPr>
          <w:p w14:paraId="108F5517">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43C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48EE3FD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 </w:t>
            </w:r>
          </w:p>
        </w:tc>
        <w:tc>
          <w:tcPr>
            <w:tcW w:w="1179" w:type="dxa"/>
            <w:shd w:val="clear" w:color="auto" w:fill="auto"/>
            <w:noWrap/>
            <w:vAlign w:val="center"/>
          </w:tcPr>
          <w:p w14:paraId="75067EFF">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7821CC2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600*400(5T)</w:t>
            </w:r>
          </w:p>
        </w:tc>
        <w:tc>
          <w:tcPr>
            <w:tcW w:w="1116" w:type="dxa"/>
            <w:shd w:val="clear" w:color="auto" w:fill="auto"/>
            <w:noWrap/>
            <w:vAlign w:val="center"/>
          </w:tcPr>
          <w:p w14:paraId="2EA94D2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60A6E11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547E44A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147746E0">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215C60D3">
            <w:pPr>
              <w:widowControl/>
              <w:snapToGrid w:val="0"/>
              <w:jc w:val="center"/>
              <w:textAlignment w:val="center"/>
              <w:rPr>
                <w:rFonts w:ascii="宋体" w:hAnsi="宋体" w:cs="宋体"/>
                <w:kern w:val="0"/>
                <w:sz w:val="22"/>
              </w:rPr>
            </w:pPr>
          </w:p>
        </w:tc>
      </w:tr>
      <w:tr w14:paraId="649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38FCA32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 </w:t>
            </w:r>
          </w:p>
        </w:tc>
        <w:tc>
          <w:tcPr>
            <w:tcW w:w="1179" w:type="dxa"/>
            <w:shd w:val="clear" w:color="auto" w:fill="auto"/>
            <w:noWrap/>
            <w:vAlign w:val="center"/>
          </w:tcPr>
          <w:p w14:paraId="6A25C0B9">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0BCD3D7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600*500(5T)</w:t>
            </w:r>
          </w:p>
        </w:tc>
        <w:tc>
          <w:tcPr>
            <w:tcW w:w="1116" w:type="dxa"/>
            <w:shd w:val="clear" w:color="auto" w:fill="auto"/>
            <w:noWrap/>
            <w:vAlign w:val="center"/>
          </w:tcPr>
          <w:p w14:paraId="153D71C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55C196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69F0D0B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5F271FB">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00B2531">
            <w:pPr>
              <w:widowControl/>
              <w:snapToGrid w:val="0"/>
              <w:jc w:val="center"/>
              <w:textAlignment w:val="center"/>
              <w:rPr>
                <w:rFonts w:ascii="宋体" w:hAnsi="宋体" w:cs="宋体"/>
                <w:kern w:val="0"/>
                <w:sz w:val="22"/>
              </w:rPr>
            </w:pPr>
          </w:p>
        </w:tc>
      </w:tr>
      <w:tr w14:paraId="3DF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05B5C68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 </w:t>
            </w:r>
          </w:p>
        </w:tc>
        <w:tc>
          <w:tcPr>
            <w:tcW w:w="1179" w:type="dxa"/>
            <w:shd w:val="clear" w:color="auto" w:fill="auto"/>
            <w:noWrap/>
            <w:vAlign w:val="center"/>
          </w:tcPr>
          <w:p w14:paraId="0224B865">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529F922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800*520(6T)</w:t>
            </w:r>
          </w:p>
        </w:tc>
        <w:tc>
          <w:tcPr>
            <w:tcW w:w="1116" w:type="dxa"/>
            <w:shd w:val="clear" w:color="auto" w:fill="auto"/>
            <w:noWrap/>
            <w:vAlign w:val="center"/>
          </w:tcPr>
          <w:p w14:paraId="7A20471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0212010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200 </w:t>
            </w:r>
          </w:p>
        </w:tc>
        <w:tc>
          <w:tcPr>
            <w:tcW w:w="1631" w:type="dxa"/>
            <w:shd w:val="clear" w:color="auto" w:fill="auto"/>
            <w:noWrap/>
            <w:vAlign w:val="center"/>
          </w:tcPr>
          <w:p w14:paraId="7AA8889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62542D33">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219553B1">
            <w:pPr>
              <w:widowControl/>
              <w:snapToGrid w:val="0"/>
              <w:jc w:val="center"/>
              <w:textAlignment w:val="center"/>
              <w:rPr>
                <w:rFonts w:ascii="宋体" w:hAnsi="宋体" w:cs="宋体"/>
                <w:kern w:val="0"/>
                <w:sz w:val="22"/>
              </w:rPr>
            </w:pPr>
          </w:p>
        </w:tc>
      </w:tr>
      <w:tr w14:paraId="34F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1DB8EA1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 </w:t>
            </w:r>
          </w:p>
        </w:tc>
        <w:tc>
          <w:tcPr>
            <w:tcW w:w="1179" w:type="dxa"/>
            <w:shd w:val="clear" w:color="auto" w:fill="auto"/>
            <w:noWrap/>
            <w:vAlign w:val="center"/>
          </w:tcPr>
          <w:p w14:paraId="58F40D28">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复合表箱</w:t>
            </w:r>
          </w:p>
        </w:tc>
        <w:tc>
          <w:tcPr>
            <w:tcW w:w="1545" w:type="dxa"/>
            <w:shd w:val="clear" w:color="auto" w:fill="auto"/>
            <w:noWrap/>
            <w:vAlign w:val="center"/>
          </w:tcPr>
          <w:p w14:paraId="4388838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1000*500(8T)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(双开门)</w:t>
            </w:r>
          </w:p>
        </w:tc>
        <w:tc>
          <w:tcPr>
            <w:tcW w:w="1116" w:type="dxa"/>
            <w:shd w:val="clear" w:color="auto" w:fill="auto"/>
            <w:noWrap/>
            <w:vAlign w:val="center"/>
          </w:tcPr>
          <w:p w14:paraId="6F9F44D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3F75140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150 </w:t>
            </w:r>
          </w:p>
        </w:tc>
        <w:tc>
          <w:tcPr>
            <w:tcW w:w="1631" w:type="dxa"/>
            <w:shd w:val="clear" w:color="auto" w:fill="auto"/>
            <w:noWrap/>
            <w:vAlign w:val="center"/>
          </w:tcPr>
          <w:p w14:paraId="54B1FC6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5408D261">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30BC0334">
            <w:pPr>
              <w:widowControl/>
              <w:snapToGrid w:val="0"/>
              <w:jc w:val="center"/>
              <w:textAlignment w:val="center"/>
              <w:rPr>
                <w:rFonts w:ascii="宋体" w:hAnsi="宋体" w:cs="宋体"/>
                <w:kern w:val="0"/>
                <w:sz w:val="22"/>
              </w:rPr>
            </w:pPr>
          </w:p>
        </w:tc>
      </w:tr>
      <w:tr w14:paraId="311C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107DF33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6 </w:t>
            </w:r>
          </w:p>
        </w:tc>
        <w:tc>
          <w:tcPr>
            <w:tcW w:w="1179" w:type="dxa"/>
            <w:shd w:val="clear" w:color="auto" w:fill="auto"/>
            <w:noWrap/>
            <w:vAlign w:val="center"/>
          </w:tcPr>
          <w:p w14:paraId="7B879ADD">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26169920">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D350</w:t>
            </w:r>
          </w:p>
        </w:tc>
        <w:tc>
          <w:tcPr>
            <w:tcW w:w="1116" w:type="dxa"/>
            <w:shd w:val="clear" w:color="auto" w:fill="auto"/>
            <w:noWrap/>
            <w:vAlign w:val="center"/>
          </w:tcPr>
          <w:p w14:paraId="56237D4F">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7C0D4F0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50 </w:t>
            </w:r>
          </w:p>
        </w:tc>
        <w:tc>
          <w:tcPr>
            <w:tcW w:w="1631" w:type="dxa"/>
            <w:shd w:val="clear" w:color="auto" w:fill="auto"/>
            <w:noWrap/>
            <w:vAlign w:val="center"/>
          </w:tcPr>
          <w:p w14:paraId="6D45CE0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D1E287C">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FA9EF1F">
            <w:pPr>
              <w:widowControl/>
              <w:snapToGrid w:val="0"/>
              <w:jc w:val="center"/>
              <w:textAlignment w:val="center"/>
              <w:rPr>
                <w:rFonts w:ascii="宋体" w:hAnsi="宋体" w:cs="宋体"/>
                <w:kern w:val="0"/>
                <w:sz w:val="22"/>
              </w:rPr>
            </w:pPr>
          </w:p>
        </w:tc>
      </w:tr>
      <w:tr w14:paraId="1F96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0182AF4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7 </w:t>
            </w:r>
          </w:p>
        </w:tc>
        <w:tc>
          <w:tcPr>
            <w:tcW w:w="1179" w:type="dxa"/>
            <w:shd w:val="clear" w:color="auto" w:fill="auto"/>
            <w:noWrap/>
            <w:vAlign w:val="center"/>
          </w:tcPr>
          <w:p w14:paraId="149A3B71">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304151A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D500</w:t>
            </w:r>
          </w:p>
        </w:tc>
        <w:tc>
          <w:tcPr>
            <w:tcW w:w="1116" w:type="dxa"/>
            <w:shd w:val="clear" w:color="auto" w:fill="auto"/>
            <w:noWrap/>
            <w:vAlign w:val="center"/>
          </w:tcPr>
          <w:p w14:paraId="5520018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2EC8383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1BDEECD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782F0A23">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44409709">
            <w:pPr>
              <w:widowControl/>
              <w:snapToGrid w:val="0"/>
              <w:jc w:val="center"/>
              <w:textAlignment w:val="center"/>
              <w:rPr>
                <w:rFonts w:ascii="宋体" w:hAnsi="宋体" w:cs="宋体"/>
                <w:kern w:val="0"/>
                <w:sz w:val="22"/>
              </w:rPr>
            </w:pPr>
          </w:p>
        </w:tc>
      </w:tr>
      <w:tr w14:paraId="0CE2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40" w:hRule="atLeast"/>
          <w:jc w:val="center"/>
        </w:trPr>
        <w:tc>
          <w:tcPr>
            <w:tcW w:w="656" w:type="dxa"/>
            <w:shd w:val="clear" w:color="auto" w:fill="auto"/>
            <w:noWrap/>
            <w:vAlign w:val="center"/>
          </w:tcPr>
          <w:p w14:paraId="7DC0FCA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8 </w:t>
            </w:r>
          </w:p>
        </w:tc>
        <w:tc>
          <w:tcPr>
            <w:tcW w:w="1179" w:type="dxa"/>
            <w:shd w:val="clear" w:color="auto" w:fill="auto"/>
            <w:noWrap/>
            <w:vAlign w:val="center"/>
          </w:tcPr>
          <w:p w14:paraId="054AF234">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检查井盖</w:t>
            </w:r>
          </w:p>
        </w:tc>
        <w:tc>
          <w:tcPr>
            <w:tcW w:w="1545" w:type="dxa"/>
            <w:shd w:val="clear" w:color="auto" w:fill="auto"/>
            <w:noWrap/>
            <w:vAlign w:val="center"/>
          </w:tcPr>
          <w:p w14:paraId="7AF22E2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D700</w:t>
            </w:r>
          </w:p>
        </w:tc>
        <w:tc>
          <w:tcPr>
            <w:tcW w:w="1116" w:type="dxa"/>
            <w:shd w:val="clear" w:color="auto" w:fill="auto"/>
            <w:noWrap/>
            <w:vAlign w:val="center"/>
          </w:tcPr>
          <w:p w14:paraId="578780F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130" w:type="dxa"/>
            <w:shd w:val="clear" w:color="auto" w:fill="auto"/>
            <w:noWrap/>
            <w:vAlign w:val="center"/>
          </w:tcPr>
          <w:p w14:paraId="42CC5057">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100 </w:t>
            </w:r>
          </w:p>
        </w:tc>
        <w:tc>
          <w:tcPr>
            <w:tcW w:w="1631" w:type="dxa"/>
            <w:shd w:val="clear" w:color="auto" w:fill="auto"/>
            <w:noWrap/>
            <w:vAlign w:val="center"/>
          </w:tcPr>
          <w:p w14:paraId="5B10C99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2AF46FC2">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0F8976A4">
            <w:pPr>
              <w:widowControl/>
              <w:snapToGrid w:val="0"/>
              <w:jc w:val="center"/>
              <w:textAlignment w:val="center"/>
              <w:rPr>
                <w:rFonts w:ascii="宋体" w:hAnsi="宋体" w:cs="宋体"/>
                <w:kern w:val="0"/>
                <w:sz w:val="22"/>
              </w:rPr>
            </w:pPr>
          </w:p>
        </w:tc>
      </w:tr>
      <w:tr w14:paraId="1B79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656" w:type="dxa"/>
            <w:shd w:val="clear" w:color="auto" w:fill="auto"/>
            <w:noWrap/>
            <w:vAlign w:val="center"/>
          </w:tcPr>
          <w:p w14:paraId="0455A59A">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9 </w:t>
            </w:r>
          </w:p>
        </w:tc>
        <w:tc>
          <w:tcPr>
            <w:tcW w:w="1179" w:type="dxa"/>
            <w:shd w:val="clear" w:color="auto" w:fill="auto"/>
            <w:noWrap/>
            <w:vAlign w:val="center"/>
          </w:tcPr>
          <w:p w14:paraId="48173B28">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水表箱盖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(单盖)</w:t>
            </w:r>
          </w:p>
        </w:tc>
        <w:tc>
          <w:tcPr>
            <w:tcW w:w="1545" w:type="dxa"/>
            <w:shd w:val="clear" w:color="auto" w:fill="auto"/>
            <w:noWrap/>
            <w:vAlign w:val="center"/>
          </w:tcPr>
          <w:p w14:paraId="301F618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530*330(10T)</w:t>
            </w:r>
          </w:p>
        </w:tc>
        <w:tc>
          <w:tcPr>
            <w:tcW w:w="1116" w:type="dxa"/>
            <w:shd w:val="clear" w:color="auto" w:fill="auto"/>
            <w:noWrap/>
            <w:vAlign w:val="center"/>
          </w:tcPr>
          <w:p w14:paraId="318BB55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只</w:t>
            </w:r>
          </w:p>
        </w:tc>
        <w:tc>
          <w:tcPr>
            <w:tcW w:w="1130" w:type="dxa"/>
            <w:shd w:val="clear" w:color="auto" w:fill="auto"/>
            <w:noWrap/>
            <w:vAlign w:val="center"/>
          </w:tcPr>
          <w:p w14:paraId="3A1B5C6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400 </w:t>
            </w:r>
          </w:p>
        </w:tc>
        <w:tc>
          <w:tcPr>
            <w:tcW w:w="1631" w:type="dxa"/>
            <w:shd w:val="clear" w:color="auto" w:fill="auto"/>
            <w:noWrap/>
            <w:vAlign w:val="center"/>
          </w:tcPr>
          <w:p w14:paraId="52A775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1424" w:type="dxa"/>
            <w:shd w:val="clear" w:color="auto" w:fill="auto"/>
            <w:noWrap/>
            <w:vAlign w:val="center"/>
          </w:tcPr>
          <w:p w14:paraId="0A74EA9B">
            <w:pPr>
              <w:keepNext w:val="0"/>
              <w:keepLines w:val="0"/>
              <w:widowControl/>
              <w:suppressLineNumbers w:val="0"/>
              <w:jc w:val="center"/>
              <w:textAlignment w:val="top"/>
              <w:rPr>
                <w:rFonts w:hint="eastAsia" w:ascii="宋体" w:hAnsi="宋体" w:eastAsia="宋体" w:cs="宋体"/>
                <w:kern w:val="0"/>
                <w:sz w:val="21"/>
                <w:szCs w:val="21"/>
              </w:rPr>
            </w:pPr>
          </w:p>
        </w:tc>
        <w:tc>
          <w:tcPr>
            <w:tcW w:w="954" w:type="dxa"/>
            <w:vMerge w:val="continue"/>
            <w:shd w:val="clear" w:color="auto" w:fill="auto"/>
            <w:noWrap/>
            <w:vAlign w:val="center"/>
          </w:tcPr>
          <w:p w14:paraId="558BF5AC">
            <w:pPr>
              <w:widowControl/>
              <w:snapToGrid w:val="0"/>
              <w:jc w:val="center"/>
              <w:textAlignment w:val="center"/>
              <w:rPr>
                <w:rFonts w:ascii="宋体" w:hAnsi="宋体" w:cs="宋体"/>
                <w:kern w:val="0"/>
                <w:sz w:val="22"/>
              </w:rPr>
            </w:pPr>
          </w:p>
        </w:tc>
      </w:tr>
      <w:tr w14:paraId="67C9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54" w:hRule="atLeast"/>
          <w:jc w:val="center"/>
        </w:trPr>
        <w:tc>
          <w:tcPr>
            <w:tcW w:w="1835" w:type="dxa"/>
            <w:gridSpan w:val="2"/>
            <w:shd w:val="clear" w:color="auto" w:fill="auto"/>
            <w:noWrap/>
            <w:vAlign w:val="center"/>
          </w:tcPr>
          <w:p w14:paraId="29EAD695">
            <w:pPr>
              <w:keepNext w:val="0"/>
              <w:keepLines w:val="0"/>
              <w:widowControl/>
              <w:suppressLineNumbers w:val="0"/>
              <w:jc w:val="center"/>
              <w:textAlignment w:val="center"/>
              <w:rPr>
                <w:rFonts w:hint="eastAsia" w:ascii="宋体" w:hAnsi="宋体" w:cs="宋体"/>
                <w:b/>
                <w:bCs/>
                <w:kern w:val="0"/>
                <w:sz w:val="22"/>
                <w:szCs w:val="22"/>
              </w:rPr>
            </w:pPr>
            <w:r>
              <w:rPr>
                <w:rFonts w:hint="eastAsia" w:ascii="宋体" w:hAnsi="宋体" w:cs="宋体"/>
                <w:b/>
                <w:bCs/>
                <w:i w:val="0"/>
                <w:iCs w:val="0"/>
                <w:color w:val="000000"/>
                <w:kern w:val="0"/>
                <w:sz w:val="22"/>
                <w:szCs w:val="22"/>
                <w:u w:val="none"/>
                <w:lang w:val="en-US" w:eastAsia="zh-CN" w:bidi="ar"/>
              </w:rPr>
              <w:t>总价（元）</w:t>
            </w:r>
          </w:p>
        </w:tc>
        <w:tc>
          <w:tcPr>
            <w:tcW w:w="6846" w:type="dxa"/>
            <w:gridSpan w:val="5"/>
            <w:shd w:val="clear" w:color="auto" w:fill="auto"/>
            <w:noWrap/>
            <w:vAlign w:val="center"/>
          </w:tcPr>
          <w:p w14:paraId="64FBAF99">
            <w:pPr>
              <w:keepNext w:val="0"/>
              <w:keepLines w:val="0"/>
              <w:widowControl/>
              <w:suppressLineNumbers w:val="0"/>
              <w:jc w:val="left"/>
              <w:textAlignment w:val="top"/>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 xml:space="preserve">大写：  </w:t>
            </w:r>
          </w:p>
          <w:p w14:paraId="07B4B6A2">
            <w:pPr>
              <w:keepNext w:val="0"/>
              <w:keepLines w:val="0"/>
              <w:widowControl/>
              <w:suppressLineNumbers w:val="0"/>
              <w:jc w:val="left"/>
              <w:textAlignment w:val="top"/>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小写：</w:t>
            </w:r>
          </w:p>
        </w:tc>
        <w:tc>
          <w:tcPr>
            <w:tcW w:w="954" w:type="dxa"/>
            <w:vMerge w:val="continue"/>
            <w:shd w:val="clear" w:color="auto" w:fill="auto"/>
            <w:noWrap/>
            <w:vAlign w:val="center"/>
          </w:tcPr>
          <w:p w14:paraId="0B818D20">
            <w:pPr>
              <w:widowControl/>
              <w:snapToGrid w:val="0"/>
              <w:jc w:val="center"/>
              <w:textAlignment w:val="center"/>
              <w:rPr>
                <w:rFonts w:ascii="宋体" w:hAnsi="宋体" w:cs="宋体"/>
                <w:kern w:val="0"/>
                <w:sz w:val="22"/>
              </w:rPr>
            </w:pPr>
          </w:p>
        </w:tc>
      </w:tr>
    </w:tbl>
    <w:p w14:paraId="64143C1C">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left"/>
        <w:textAlignment w:val="auto"/>
        <w:rPr>
          <w:rFonts w:hint="eastAsia" w:ascii="黑体" w:hAnsi="黑体" w:eastAsia="黑体" w:cs="黑体"/>
          <w:b w:val="0"/>
          <w:bCs w:val="0"/>
          <w:color w:val="auto"/>
          <w:spacing w:val="0"/>
          <w:kern w:val="0"/>
          <w:sz w:val="28"/>
          <w:szCs w:val="28"/>
          <w:highlight w:val="none"/>
          <w:shd w:val="clear" w:color="auto" w:fill="FFFFFF"/>
        </w:rPr>
      </w:pPr>
    </w:p>
    <w:p w14:paraId="5D65D9BE">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黑体" w:hAnsi="黑体" w:eastAsia="黑体" w:cs="黑体"/>
          <w:b/>
          <w:bCs/>
          <w:color w:val="auto"/>
          <w:spacing w:val="0"/>
          <w:sz w:val="28"/>
          <w:szCs w:val="28"/>
          <w:highlight w:val="none"/>
        </w:rPr>
      </w:pPr>
      <w:r>
        <w:rPr>
          <w:rFonts w:hint="eastAsia" w:ascii="黑体" w:hAnsi="黑体" w:eastAsia="黑体" w:cs="黑体"/>
          <w:b/>
          <w:bCs/>
          <w:color w:val="auto"/>
          <w:spacing w:val="0"/>
          <w:kern w:val="0"/>
          <w:sz w:val="28"/>
          <w:szCs w:val="28"/>
          <w:highlight w:val="none"/>
          <w:shd w:val="clear" w:color="auto" w:fill="FFFFFF"/>
          <w:lang w:val="en-US" w:eastAsia="zh-CN"/>
        </w:rPr>
        <w:t>一</w:t>
      </w:r>
      <w:r>
        <w:rPr>
          <w:rFonts w:hint="eastAsia" w:ascii="黑体" w:hAnsi="黑体" w:eastAsia="黑体" w:cs="黑体"/>
          <w:b/>
          <w:bCs/>
          <w:color w:val="auto"/>
          <w:spacing w:val="0"/>
          <w:kern w:val="0"/>
          <w:sz w:val="28"/>
          <w:szCs w:val="28"/>
          <w:highlight w:val="none"/>
          <w:shd w:val="clear" w:color="auto" w:fill="FFFFFF"/>
          <w:lang w:eastAsia="zh-CN"/>
        </w:rPr>
        <w:t>、</w:t>
      </w:r>
      <w:r>
        <w:rPr>
          <w:rFonts w:hint="eastAsia" w:ascii="黑体" w:hAnsi="黑体" w:eastAsia="黑体" w:cs="黑体"/>
          <w:b/>
          <w:bCs/>
          <w:color w:val="auto"/>
          <w:spacing w:val="0"/>
          <w:kern w:val="0"/>
          <w:sz w:val="28"/>
          <w:szCs w:val="28"/>
          <w:highlight w:val="none"/>
          <w:shd w:val="clear" w:color="auto" w:fill="FFFFFF"/>
        </w:rPr>
        <w:t>申请人的资格要求</w:t>
      </w:r>
    </w:p>
    <w:p w14:paraId="029691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1.符合《中华人民共和国政府采购法》第二十二条规定；</w:t>
      </w:r>
    </w:p>
    <w:p w14:paraId="31A0D74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2.未被“信用中国”、“中国政府采购网”、“信用江苏”网站列入失信被执行人、重大税收违法案件当事人名单、政府采购严重违法失信行为记录名单；</w:t>
      </w:r>
    </w:p>
    <w:p w14:paraId="650EBB8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3.对于参加报价的供应商，须具有合法的营业执照；</w:t>
      </w:r>
    </w:p>
    <w:p w14:paraId="39F3082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4.报价人提供的投标货物具有有效的省级及以上质量检测中心出具的性能检验报告；</w:t>
      </w:r>
    </w:p>
    <w:p w14:paraId="2CDD18E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5.报价人需具有质量管理体系认证证书和环境管理体系认证证书（若为经销商的，则需提供投标品牌厂家的质量管理体系认证证书和环境管理体系认证证书原件扫描件），证书须在有效期内并覆盖本招标产品；</w:t>
      </w:r>
    </w:p>
    <w:p w14:paraId="7E9E18D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6.报价人有自2022年1月1日以来（以合同签订时间为准）有类似的供货业绩（提供相对应的合同及发票原件扫描件加盖公章）。</w:t>
      </w:r>
    </w:p>
    <w:p w14:paraId="597C045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.本项目不接受联合体投标。</w:t>
      </w:r>
    </w:p>
    <w:p w14:paraId="4A77E4F7">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708A428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357481D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38045F8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1D9AEAA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黑体" w:hAnsi="黑体" w:eastAsia="黑体" w:cs="黑体"/>
          <w:b/>
          <w:bCs/>
          <w:color w:val="auto"/>
          <w:spacing w:val="0"/>
          <w:kern w:val="0"/>
          <w:sz w:val="28"/>
          <w:szCs w:val="28"/>
          <w:highlight w:val="none"/>
          <w:shd w:val="clear" w:color="auto" w:fill="FFFFFF"/>
          <w:lang w:val="en-US" w:eastAsia="zh-CN"/>
        </w:rPr>
      </w:pPr>
      <w:r>
        <w:rPr>
          <w:rFonts w:hint="eastAsia" w:ascii="黑体" w:hAnsi="黑体" w:eastAsia="黑体" w:cs="黑体"/>
          <w:b/>
          <w:bCs/>
          <w:color w:val="auto"/>
          <w:spacing w:val="0"/>
          <w:kern w:val="0"/>
          <w:sz w:val="28"/>
          <w:szCs w:val="28"/>
          <w:highlight w:val="none"/>
          <w:shd w:val="clear" w:color="auto" w:fill="FFFFFF"/>
          <w:lang w:val="en-US" w:eastAsia="zh-CN"/>
        </w:rPr>
        <w:t>二、相关技术要求:</w:t>
      </w:r>
    </w:p>
    <w:p w14:paraId="2F19B66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（1）复合窨井、复合水表箱生产应符合复合井盖技术《检查井盖》（GB/T23858-2009）标准。</w:t>
      </w:r>
    </w:p>
    <w:p w14:paraId="08D949CA">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（2）复合窨井、复合水表箱主要材质：</w:t>
      </w:r>
    </w:p>
    <w:p w14:paraId="0DB1D3C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BMC团状模料（不饱和树脂、短切玻璃纤维和填料[不得参有石英砂]，内配螺纹钢作为骨架）或SMC片状模料（SMC专用纱、不饱和树脂、低收缩添加剂和填料）。</w:t>
      </w:r>
    </w:p>
    <w:p w14:paraId="7B27897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（3）主要技术参数</w:t>
      </w:r>
    </w:p>
    <w:p w14:paraId="0E4DCD4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规格：各档规格的复合窨井、复合水表箱。</w:t>
      </w:r>
    </w:p>
    <w:p w14:paraId="29AA8C3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适应环境：根据不同承载力，适用于不同路面要求。窨井盖承载力20T以上的主要适用于人行道、小区机动车道及非机动车道。水表箱3T适用于绿化带、人行道，6T可适用于非机动车道。</w:t>
      </w:r>
    </w:p>
    <w:p w14:paraId="517C115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适应温度：-10℃~80℃</w:t>
      </w:r>
    </w:p>
    <w:p w14:paraId="4807DBD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（4）主要技术要求：</w:t>
      </w:r>
    </w:p>
    <w:p w14:paraId="0FCA370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①复合窨井、复合水表箱表面应有凸起防滑花纹，凸起高度不应小于3mm，应平正，坞明显变形等缺陷；</w:t>
      </w:r>
    </w:p>
    <w:p w14:paraId="21E0A2C7">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②不饱和树脂复合材料主要性能指标应达到：抗压强度大于30Mpa、抗折强度大于14Mpa、抗冲击韧性大于95kj/㎡，抗冻融性抗压强度损失率不大于13%，热老化抗压强度相对变化率（80±2℃，7d）不大于0.4%，人工老化抗折强度相对变化率不大于3%。</w:t>
      </w:r>
    </w:p>
    <w:p w14:paraId="5E926C7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③复合窨井承载能力应达到200KN，复合水表箱承载能力应打到30KN。</w:t>
      </w:r>
    </w:p>
    <w:p w14:paraId="7C0F404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 xml:space="preserve">④为增加复合窨井、复合水表箱盖板强度，BMC井盖应配置一定规格、数量的螺纹钢作加强筋。附详细钢筋用量及规格：500检查井为主筋和辅筋，主筋为14Φ螺纹钢和辅筋10Φ螺纹钢；500*300为主筋和辅筋，主筋和辅筋均为10Φ；700检查井为主筋和辅筋，主筋是18Φ螺纹钢，辅筋是12Φ螺纹钢；520*800为主筋和辅筋，主筋是16Φ螺纹钢和8Φ钢筋。   </w:t>
      </w:r>
    </w:p>
    <w:p w14:paraId="4B22304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SMC井盖盖板厚度，500检查井盖盖板厚度40mm, 保护层10mm,底座高度60mm;600检查井盖盖板厚度50mm,保护层15mm,底座高度80mm;700检查井盖盖板厚度60mm,保护层20mm,底座高度90mm;300*500复合表箱厚度30mm,保护层厚度10mm,井座高度48mm;520*800盖板厚度40mm,保护层厚度15mm,井座高度60mm。</w:t>
      </w:r>
    </w:p>
    <w:p w14:paraId="5C1DD0A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⑤同类规格的复合窨井、复合水表箱应色泽一致，颜色为黑色。</w:t>
      </w:r>
    </w:p>
    <w:p w14:paraId="2DD33BA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⑥井盖与支座装配结构尺寸应符合GB/T6414-2017要求，其公差等级不得低于GB/T6414-2017中DCTG10的规定，并保证井盖与支座的互换性。</w:t>
      </w:r>
    </w:p>
    <w:p w14:paraId="42DC5C3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⑦复合窨井、复合水表箱的模压件应洁净、无空隙、裂缝、瑕疵、砂眼等缺陷。</w:t>
      </w:r>
    </w:p>
    <w:p w14:paraId="70ED265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⑧每只复合窨井盖板和水表箱盖板上，应根据采购人要求加刻“城投供水”和“0513-12345”字样，所印文字和文字大小在签订合同时商定（不计费）。</w:t>
      </w:r>
    </w:p>
    <w:p w14:paraId="61312A11">
      <w:pPr>
        <w:pStyle w:val="2"/>
        <w:ind w:left="0" w:leftChars="0"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35AB7F26">
      <w:pPr>
        <w:pStyle w:val="2"/>
        <w:ind w:left="0" w:leftChars="0"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0" w:leftChars="0" w:firstLine="4480" w:firstLineChars="140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1E2452D3">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71EA47DC">
      <w:pPr>
        <w:pStyle w:val="2"/>
        <w:rPr>
          <w:rFonts w:hint="eastAsia"/>
          <w:lang w:val="en-US" w:eastAsia="zh-CN"/>
        </w:rPr>
      </w:pPr>
    </w:p>
    <w:p w14:paraId="716907E8">
      <w:pPr>
        <w:pStyle w:val="2"/>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5C12A93F">
      <w:pPr>
        <w:rPr>
          <w:rFonts w:hint="eastAsia"/>
          <w:lang w:val="en-US" w:eastAsia="zh-CN"/>
        </w:rPr>
      </w:pPr>
    </w:p>
    <w:p w14:paraId="1004593B">
      <w:p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复合表箱、检查井盖2025-2026年度采购项目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复合表箱、检查井盖2025-2026年度采购项目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1B9C8527">
      <w:pPr>
        <w:pStyle w:val="2"/>
        <w:rPr>
          <w:rFonts w:hint="eastAsia"/>
        </w:rPr>
      </w:pPr>
    </w:p>
    <w:p w14:paraId="46388CDA">
      <w:pPr>
        <w:pStyle w:val="2"/>
        <w:rPr>
          <w:rFonts w:hint="eastAsia"/>
          <w:lang w:val="en-US" w:eastAsia="zh-CN"/>
        </w:rPr>
      </w:pPr>
    </w:p>
    <w:p w14:paraId="3DCD5FF7">
      <w:pPr>
        <w:rPr>
          <w:rFonts w:hint="default"/>
          <w:lang w:val="en-US" w:eastAsia="zh-CN"/>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0333004"/>
    <w:rsid w:val="00CA7EEA"/>
    <w:rsid w:val="00ED5986"/>
    <w:rsid w:val="010E1B2D"/>
    <w:rsid w:val="03525F75"/>
    <w:rsid w:val="04510922"/>
    <w:rsid w:val="05410997"/>
    <w:rsid w:val="0639341C"/>
    <w:rsid w:val="0673692E"/>
    <w:rsid w:val="08DB07BA"/>
    <w:rsid w:val="09475E50"/>
    <w:rsid w:val="0A73514E"/>
    <w:rsid w:val="0B5D79CA"/>
    <w:rsid w:val="0C1E10EA"/>
    <w:rsid w:val="0C47341A"/>
    <w:rsid w:val="0D205FC4"/>
    <w:rsid w:val="0EBB5316"/>
    <w:rsid w:val="0F5D63CD"/>
    <w:rsid w:val="126D4B79"/>
    <w:rsid w:val="12EE01E9"/>
    <w:rsid w:val="132956E7"/>
    <w:rsid w:val="13517FF7"/>
    <w:rsid w:val="14A67B88"/>
    <w:rsid w:val="157638C5"/>
    <w:rsid w:val="15F36738"/>
    <w:rsid w:val="168E50BE"/>
    <w:rsid w:val="16E12CF7"/>
    <w:rsid w:val="19B906A4"/>
    <w:rsid w:val="1A197394"/>
    <w:rsid w:val="1A9529E3"/>
    <w:rsid w:val="1CAB4C1C"/>
    <w:rsid w:val="1DA11B7B"/>
    <w:rsid w:val="1DD737EE"/>
    <w:rsid w:val="1EA2204E"/>
    <w:rsid w:val="1F0D5792"/>
    <w:rsid w:val="1FFD48A4"/>
    <w:rsid w:val="206017A8"/>
    <w:rsid w:val="208E2038"/>
    <w:rsid w:val="20CB3C95"/>
    <w:rsid w:val="214B2529"/>
    <w:rsid w:val="22544741"/>
    <w:rsid w:val="22B4600F"/>
    <w:rsid w:val="24BF77BA"/>
    <w:rsid w:val="26B66697"/>
    <w:rsid w:val="26C22343"/>
    <w:rsid w:val="28221B0A"/>
    <w:rsid w:val="285B2563"/>
    <w:rsid w:val="29471828"/>
    <w:rsid w:val="2D3447B9"/>
    <w:rsid w:val="2D4F514F"/>
    <w:rsid w:val="2F544C9F"/>
    <w:rsid w:val="31CB29E3"/>
    <w:rsid w:val="31EF0CAF"/>
    <w:rsid w:val="32195D2C"/>
    <w:rsid w:val="34A2025B"/>
    <w:rsid w:val="34CA7825"/>
    <w:rsid w:val="35BB5A78"/>
    <w:rsid w:val="36174C78"/>
    <w:rsid w:val="36A71822"/>
    <w:rsid w:val="370034AF"/>
    <w:rsid w:val="393B097F"/>
    <w:rsid w:val="39423DBA"/>
    <w:rsid w:val="39DE1D35"/>
    <w:rsid w:val="3A9248CD"/>
    <w:rsid w:val="3AF01909"/>
    <w:rsid w:val="3B31058A"/>
    <w:rsid w:val="3C131A3E"/>
    <w:rsid w:val="3C2761E6"/>
    <w:rsid w:val="3C6A6634"/>
    <w:rsid w:val="3D2C725B"/>
    <w:rsid w:val="3DA54D35"/>
    <w:rsid w:val="4114428E"/>
    <w:rsid w:val="45E7711D"/>
    <w:rsid w:val="46F72688"/>
    <w:rsid w:val="472E597E"/>
    <w:rsid w:val="474C1176"/>
    <w:rsid w:val="477A6E15"/>
    <w:rsid w:val="47A85730"/>
    <w:rsid w:val="4835576E"/>
    <w:rsid w:val="48AB635E"/>
    <w:rsid w:val="48B819A3"/>
    <w:rsid w:val="49155047"/>
    <w:rsid w:val="49CB3958"/>
    <w:rsid w:val="4AA77F21"/>
    <w:rsid w:val="4B306168"/>
    <w:rsid w:val="4BBC79FC"/>
    <w:rsid w:val="4DB6598F"/>
    <w:rsid w:val="4DE65204"/>
    <w:rsid w:val="4DFF6B58"/>
    <w:rsid w:val="4F4E228A"/>
    <w:rsid w:val="51394F3B"/>
    <w:rsid w:val="514C1822"/>
    <w:rsid w:val="52F64289"/>
    <w:rsid w:val="537B63EF"/>
    <w:rsid w:val="57343F1B"/>
    <w:rsid w:val="57E03CE2"/>
    <w:rsid w:val="5800522E"/>
    <w:rsid w:val="59937D84"/>
    <w:rsid w:val="5A4C63EF"/>
    <w:rsid w:val="5B4369AD"/>
    <w:rsid w:val="5D7A3273"/>
    <w:rsid w:val="5DE75D58"/>
    <w:rsid w:val="5EDA6AB4"/>
    <w:rsid w:val="6042451C"/>
    <w:rsid w:val="6062696C"/>
    <w:rsid w:val="615A6AD3"/>
    <w:rsid w:val="61F62B25"/>
    <w:rsid w:val="63F27C87"/>
    <w:rsid w:val="64406FC4"/>
    <w:rsid w:val="648D1B54"/>
    <w:rsid w:val="65DD6A95"/>
    <w:rsid w:val="664B7EA3"/>
    <w:rsid w:val="68F4699D"/>
    <w:rsid w:val="69915C20"/>
    <w:rsid w:val="6ACB2D61"/>
    <w:rsid w:val="6AD20B92"/>
    <w:rsid w:val="6AD433DD"/>
    <w:rsid w:val="6B7F2014"/>
    <w:rsid w:val="6CB30550"/>
    <w:rsid w:val="6CC462B9"/>
    <w:rsid w:val="6D2716D5"/>
    <w:rsid w:val="6D8223FC"/>
    <w:rsid w:val="6F0B363C"/>
    <w:rsid w:val="6F60051B"/>
    <w:rsid w:val="6F774993"/>
    <w:rsid w:val="703B1992"/>
    <w:rsid w:val="744C34E1"/>
    <w:rsid w:val="756B19C7"/>
    <w:rsid w:val="759108C9"/>
    <w:rsid w:val="76607052"/>
    <w:rsid w:val="768076F4"/>
    <w:rsid w:val="77423369"/>
    <w:rsid w:val="777F5120"/>
    <w:rsid w:val="78B74D62"/>
    <w:rsid w:val="7AFC31A3"/>
    <w:rsid w:val="7C99506C"/>
    <w:rsid w:val="7EFF7672"/>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Body Text Indent"/>
    <w:basedOn w:val="1"/>
    <w:next w:val="5"/>
    <w:qFormat/>
    <w:uiPriority w:val="0"/>
    <w:pPr>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spacing w:after="120"/>
      <w:ind w:firstLine="420" w:firstLineChars="200"/>
    </w:pPr>
    <w:rPr>
      <w:rFonts w:ascii="Times New Roman" w:hAnsi="Times New Roman"/>
      <w:szCs w:val="20"/>
    </w:rPr>
  </w:style>
  <w:style w:type="character" w:customStyle="1" w:styleId="10">
    <w:name w:val="NormalCharacter"/>
    <w:qFormat/>
    <w:uiPriority w:val="99"/>
  </w:style>
  <w:style w:type="paragraph" w:customStyle="1" w:styleId="11">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12">
    <w:name w:val="font21"/>
    <w:basedOn w:val="9"/>
    <w:qFormat/>
    <w:uiPriority w:val="0"/>
    <w:rPr>
      <w:rFonts w:ascii="宋体" w:hAnsi="宋体" w:eastAsia="宋体" w:cs="宋体"/>
      <w:color w:val="000000"/>
      <w:sz w:val="20"/>
      <w:szCs w:val="20"/>
      <w:u w:val="none"/>
    </w:rPr>
  </w:style>
  <w:style w:type="character" w:customStyle="1" w:styleId="13">
    <w:name w:val="font4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4502</Words>
  <Characters>5088</Characters>
  <Lines>0</Lines>
  <Paragraphs>0</Paragraphs>
  <TotalTime>1</TotalTime>
  <ScaleCrop>false</ScaleCrop>
  <LinksUpToDate>false</LinksUpToDate>
  <CharactersWithSpaces>5348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2025-11-18T01:25:42Z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8D988E26C5E04BAAB20CECC20C822364_13</vt:lpwstr>
  </property>
  <property fmtid="{D5CDD505-2E9C-101B-9397-08002B2CF9AE}" pid="4" name="KSOTemplateDocerSaveRecord">
    <vt:lpwstr>eyJoZGlkIjoiNzFhZjk3MWU2ODZjMTU1ZDU0MWFlZmQyMTYwNjE5ZjIiLCJ1c2VySWQiOiIyMzk3ODg1OTIifQ==</vt:lpwstr>
  </property>
</Properties>
</file>