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启东市吕四自来水厂有限公司消防栓2025-2026年度采购项目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启东市吕四自来水厂有限公司消防栓2025-2026年度采购项目即将实施，现就该项目进行市场询价调研。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一、采购需求：详见附件《启东市吕四自来水厂有限公司消防栓2025-2026年度采购项目</w:t>
      </w:r>
      <w:r>
        <w:rPr>
          <w:rFonts w:hint="eastAsia" w:ascii="宋体" w:hAnsi="宋体" w:eastAsia="宋体"/>
          <w:sz w:val="24"/>
          <w:szCs w:val="24"/>
          <w:lang w:val="en-US" w:eastAsia="zh-CN"/>
        </w:rPr>
        <w:t>采购市场询价表</w:t>
      </w:r>
      <w:r>
        <w:rPr>
          <w:rFonts w:hint="eastAsia" w:ascii="宋体" w:hAnsi="宋体" w:eastAsia="宋体" w:cs="宋体"/>
          <w:sz w:val="24"/>
          <w:szCs w:val="24"/>
          <w:lang w:val="en-US" w:eastAsia="zh-CN"/>
        </w:rPr>
        <w:t>》及</w:t>
      </w:r>
      <w:r>
        <w:rPr>
          <w:rFonts w:hint="eastAsia" w:ascii="宋体" w:hAnsi="宋体" w:eastAsia="宋体" w:cs="宋体"/>
          <w:color w:val="auto"/>
          <w:sz w:val="24"/>
          <w:szCs w:val="24"/>
          <w:lang w:val="en-US" w:eastAsia="zh-CN"/>
        </w:rPr>
        <w:t>材料标准及要求。</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w:t>
      </w:r>
      <w:r>
        <w:rPr>
          <w:rStyle w:val="29"/>
          <w:rFonts w:hint="eastAsia" w:ascii="宋体" w:hAnsi="宋体" w:eastAsia="宋体" w:cs="宋体"/>
          <w:color w:val="auto"/>
          <w:kern w:val="0"/>
          <w:sz w:val="24"/>
          <w:szCs w:val="24"/>
          <w:highlight w:val="none"/>
          <w:lang w:val="en-US" w:eastAsia="zh-CN"/>
        </w:rPr>
        <w:t>求：1年（含)以上。</w:t>
      </w:r>
    </w:p>
    <w:p w14:paraId="36EC05C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FF"/>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w:t>
      </w:r>
      <w:r>
        <w:rPr>
          <w:rStyle w:val="29"/>
          <w:rFonts w:hint="eastAsia" w:ascii="宋体" w:hAnsi="宋体" w:eastAsia="宋体" w:cs="宋体"/>
          <w:b/>
          <w:bCs/>
          <w:kern w:val="0"/>
          <w:sz w:val="24"/>
          <w:szCs w:val="24"/>
          <w:highlight w:val="none"/>
          <w:u w:val="single"/>
          <w:lang w:val="en-US" w:eastAsia="zh-CN"/>
        </w:rPr>
        <w:t>加盖公章</w:t>
      </w:r>
      <w:r>
        <w:rPr>
          <w:rStyle w:val="29"/>
          <w:rFonts w:hint="eastAsia" w:ascii="宋体" w:hAnsi="宋体" w:eastAsia="宋体" w:cs="宋体"/>
          <w:b/>
          <w:bCs/>
          <w:kern w:val="0"/>
          <w:sz w:val="24"/>
          <w:szCs w:val="24"/>
          <w:highlight w:val="none"/>
          <w:u w:val="single"/>
        </w:rPr>
        <w:t>于202</w:t>
      </w:r>
      <w:r>
        <w:rPr>
          <w:rStyle w:val="29"/>
          <w:rFonts w:hint="eastAsia" w:ascii="宋体" w:hAnsi="宋体" w:eastAsia="宋体" w:cs="宋体"/>
          <w:b/>
          <w:bCs/>
          <w:kern w:val="0"/>
          <w:sz w:val="24"/>
          <w:szCs w:val="24"/>
          <w:highlight w:val="none"/>
          <w:u w:val="single"/>
          <w:lang w:val="en-US" w:eastAsia="zh-CN"/>
        </w:rPr>
        <w:t>5</w:t>
      </w:r>
      <w:r>
        <w:rPr>
          <w:rStyle w:val="29"/>
          <w:rFonts w:hint="eastAsia" w:ascii="宋体" w:hAnsi="宋体" w:eastAsia="宋体" w:cs="宋体"/>
          <w:b/>
          <w:bCs/>
          <w:kern w:val="0"/>
          <w:sz w:val="24"/>
          <w:szCs w:val="24"/>
          <w:highlight w:val="none"/>
          <w:u w:val="single"/>
        </w:rPr>
        <w:t>年</w:t>
      </w:r>
      <w:r>
        <w:rPr>
          <w:rStyle w:val="29"/>
          <w:rFonts w:hint="eastAsia" w:ascii="宋体" w:hAnsi="宋体" w:eastAsia="宋体" w:cs="宋体"/>
          <w:b/>
          <w:bCs/>
          <w:kern w:val="0"/>
          <w:sz w:val="24"/>
          <w:szCs w:val="24"/>
          <w:highlight w:val="none"/>
          <w:u w:val="single"/>
          <w:lang w:val="en-US" w:eastAsia="zh-CN"/>
        </w:rPr>
        <w:t>5</w:t>
      </w:r>
      <w:r>
        <w:rPr>
          <w:rStyle w:val="29"/>
          <w:rFonts w:hint="eastAsia" w:ascii="宋体" w:hAnsi="宋体" w:eastAsia="宋体" w:cs="宋体"/>
          <w:b/>
          <w:bCs/>
          <w:kern w:val="0"/>
          <w:sz w:val="24"/>
          <w:szCs w:val="24"/>
          <w:highlight w:val="none"/>
          <w:u w:val="single"/>
        </w:rPr>
        <w:t>月</w:t>
      </w:r>
      <w:r>
        <w:rPr>
          <w:rStyle w:val="29"/>
          <w:rFonts w:hint="eastAsia" w:ascii="宋体" w:hAnsi="宋体" w:eastAsia="宋体" w:cs="宋体"/>
          <w:b/>
          <w:bCs/>
          <w:kern w:val="0"/>
          <w:sz w:val="24"/>
          <w:szCs w:val="24"/>
          <w:highlight w:val="none"/>
          <w:u w:val="single"/>
          <w:lang w:val="en-US" w:eastAsia="zh-CN"/>
        </w:rPr>
        <w:t>8</w:t>
      </w:r>
      <w:r>
        <w:rPr>
          <w:rStyle w:val="29"/>
          <w:rFonts w:hint="eastAsia" w:ascii="宋体" w:hAnsi="宋体" w:eastAsia="宋体" w:cs="宋体"/>
          <w:b/>
          <w:bCs/>
          <w:kern w:val="0"/>
          <w:sz w:val="24"/>
          <w:szCs w:val="24"/>
          <w:highlight w:val="none"/>
          <w:u w:val="singl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2ACF9E5B">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w:t>
      </w:r>
      <w:r>
        <w:rPr>
          <w:rStyle w:val="29"/>
          <w:rFonts w:hint="eastAsia" w:ascii="宋体" w:hAnsi="宋体" w:eastAsia="宋体" w:cs="宋体"/>
          <w:kern w:val="0"/>
          <w:sz w:val="24"/>
          <w:szCs w:val="24"/>
          <w:highlight w:val="none"/>
          <w:lang w:val="en-US" w:eastAsia="zh-CN"/>
        </w:rPr>
        <w:t>8</w:t>
      </w:r>
      <w:r>
        <w:rPr>
          <w:rStyle w:val="29"/>
          <w:rFonts w:hint="eastAsia" w:ascii="宋体" w:hAnsi="宋体" w:eastAsia="宋体" w:cs="宋体"/>
          <w:kern w:val="0"/>
          <w:sz w:val="24"/>
          <w:szCs w:val="24"/>
          <w:highlight w:val="none"/>
        </w:rPr>
        <w:t>0%货款，合同期内所供货物的余款</w:t>
      </w:r>
      <w:r>
        <w:rPr>
          <w:rStyle w:val="29"/>
          <w:rFonts w:hint="eastAsia" w:ascii="宋体" w:hAnsi="宋体" w:eastAsia="宋体" w:cs="宋体"/>
          <w:kern w:val="0"/>
          <w:sz w:val="24"/>
          <w:szCs w:val="24"/>
          <w:highlight w:val="none"/>
          <w:lang w:val="en-US" w:eastAsia="zh-CN"/>
        </w:rPr>
        <w:t>在质保期后</w:t>
      </w:r>
      <w:r>
        <w:rPr>
          <w:rStyle w:val="29"/>
          <w:rFonts w:hint="eastAsia" w:ascii="宋体" w:hAnsi="宋体" w:eastAsia="宋体" w:cs="宋体"/>
          <w:kern w:val="0"/>
          <w:sz w:val="24"/>
          <w:szCs w:val="24"/>
          <w:highlight w:val="none"/>
        </w:rPr>
        <w:t>收到成交供应商相应的增值税专用发票</w:t>
      </w:r>
      <w:r>
        <w:rPr>
          <w:rStyle w:val="29"/>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2025年4月28日</w:t>
      </w:r>
    </w:p>
    <w:p w14:paraId="10B6DC4A">
      <w:pPr>
        <w:rPr>
          <w:rFonts w:hint="default" w:ascii="宋体" w:hAnsi="宋体" w:eastAsia="宋体" w:cs="宋体"/>
          <w:b/>
          <w:color w:val="auto"/>
          <w:kern w:val="0"/>
          <w:sz w:val="28"/>
          <w:szCs w:val="28"/>
          <w:highlight w:val="none"/>
          <w:lang w:val="en-US" w:eastAsia="zh-CN"/>
        </w:rPr>
      </w:pPr>
    </w:p>
    <w:p w14:paraId="22F64D54">
      <w:pPr>
        <w:pStyle w:val="8"/>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8"/>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8"/>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8"/>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8"/>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6EF6C5F4">
      <w:pPr>
        <w:pStyle w:val="8"/>
        <w:rPr>
          <w:rFonts w:hint="eastAsia" w:ascii="宋体" w:hAnsi="宋体" w:cs="宋体"/>
          <w:b/>
          <w:color w:val="auto"/>
          <w:kern w:val="0"/>
          <w:sz w:val="28"/>
          <w:szCs w:val="28"/>
          <w:highlight w:val="none"/>
          <w:lang w:val="en-US" w:eastAsia="zh-CN"/>
        </w:rPr>
      </w:pPr>
    </w:p>
    <w:p w14:paraId="030B7A81">
      <w:pPr>
        <w:pStyle w:val="8"/>
        <w:rPr>
          <w:rFonts w:hint="eastAsia" w:ascii="宋体" w:hAnsi="宋体" w:cs="宋体"/>
          <w:b/>
          <w:color w:val="auto"/>
          <w:kern w:val="0"/>
          <w:sz w:val="28"/>
          <w:szCs w:val="28"/>
          <w:highlight w:val="none"/>
          <w:lang w:val="en-US" w:eastAsia="zh-CN"/>
        </w:rPr>
      </w:pPr>
    </w:p>
    <w:p w14:paraId="2E46DC16">
      <w:pPr>
        <w:pStyle w:val="8"/>
        <w:rPr>
          <w:rFonts w:hint="eastAsia" w:ascii="宋体" w:hAnsi="宋体" w:cs="宋体"/>
          <w:b/>
          <w:color w:val="auto"/>
          <w:kern w:val="0"/>
          <w:sz w:val="28"/>
          <w:szCs w:val="28"/>
          <w:highlight w:val="none"/>
          <w:lang w:val="en-US" w:eastAsia="zh-CN"/>
        </w:rPr>
      </w:pPr>
    </w:p>
    <w:p w14:paraId="63124996">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br w:type="page"/>
      </w:r>
    </w:p>
    <w:p w14:paraId="71C2E0F0">
      <w:pPr>
        <w:pStyle w:val="8"/>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8"/>
        <w:tblW w:w="10284"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9"/>
        <w:gridCol w:w="1271"/>
        <w:gridCol w:w="1660"/>
        <w:gridCol w:w="972"/>
        <w:gridCol w:w="1211"/>
        <w:gridCol w:w="838"/>
        <w:gridCol w:w="1226"/>
        <w:gridCol w:w="1032"/>
        <w:gridCol w:w="1334"/>
      </w:tblGrid>
      <w:tr w14:paraId="3859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455" w:type="dxa"/>
            <w:gridSpan w:val="9"/>
            <w:tcBorders>
              <w:top w:val="nil"/>
              <w:left w:val="nil"/>
              <w:bottom w:val="nil"/>
              <w:right w:val="nil"/>
            </w:tcBorders>
            <w:shd w:val="clear" w:color="auto" w:fill="auto"/>
            <w:vAlign w:val="center"/>
          </w:tcPr>
          <w:p w14:paraId="6447DC9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启东市吕四自来水厂有限公司消防栓2025-2026年度采购项目市场询价表</w:t>
            </w:r>
          </w:p>
        </w:tc>
      </w:tr>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E6F7D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报价品牌</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14:paraId="1431BF6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        （元）</w:t>
            </w:r>
          </w:p>
        </w:tc>
        <w:tc>
          <w:tcPr>
            <w:tcW w:w="1035"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3ADC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DN100*1.6MPa</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0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AE576E">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B083AC">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4A0B9">
            <w:pPr>
              <w:rPr>
                <w:rFonts w:hint="eastAsia" w:ascii="宋体" w:hAnsi="宋体" w:eastAsia="宋体" w:cs="宋体"/>
                <w:b/>
                <w:bCs/>
                <w:i w:val="0"/>
                <w:iCs w:val="0"/>
                <w:color w:val="000000"/>
                <w:sz w:val="22"/>
                <w:szCs w:val="22"/>
                <w:u w:val="none"/>
              </w:rPr>
            </w:pPr>
          </w:p>
        </w:tc>
        <w:tc>
          <w:tcPr>
            <w:tcW w:w="1338" w:type="dxa"/>
            <w:vMerge w:val="restart"/>
            <w:tcBorders>
              <w:top w:val="single" w:color="000000" w:sz="4" w:space="0"/>
              <w:left w:val="single" w:color="000000" w:sz="4" w:space="0"/>
              <w:right w:val="single" w:color="000000" w:sz="4" w:space="0"/>
            </w:tcBorders>
            <w:shd w:val="clear" w:color="auto" w:fill="auto"/>
            <w:vAlign w:val="center"/>
          </w:tcPr>
          <w:p w14:paraId="1EB0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4472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28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06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智能消火栓</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7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DN100*1.6MPa</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14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23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917C20">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E4B73D">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C8A0E6">
            <w:pPr>
              <w:rPr>
                <w:rFonts w:hint="eastAsia" w:ascii="宋体" w:hAnsi="宋体" w:eastAsia="宋体" w:cs="宋体"/>
                <w:b/>
                <w:bCs/>
                <w:i w:val="0"/>
                <w:iCs w:val="0"/>
                <w:color w:val="000000"/>
                <w:sz w:val="22"/>
                <w:szCs w:val="22"/>
                <w:u w:val="none"/>
              </w:rPr>
            </w:pPr>
          </w:p>
        </w:tc>
        <w:tc>
          <w:tcPr>
            <w:tcW w:w="1338" w:type="dxa"/>
            <w:vMerge w:val="continue"/>
            <w:tcBorders>
              <w:left w:val="single" w:color="000000" w:sz="4" w:space="0"/>
              <w:right w:val="single" w:color="000000" w:sz="4" w:space="0"/>
            </w:tcBorders>
            <w:shd w:val="clear" w:color="auto" w:fill="auto"/>
            <w:vAlign w:val="center"/>
          </w:tcPr>
          <w:p w14:paraId="3663D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41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58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34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智能消防栓盖</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FD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F0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B9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84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DE07F0">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159BD6">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55779">
            <w:pPr>
              <w:rPr>
                <w:rFonts w:hint="eastAsia" w:ascii="宋体" w:hAnsi="宋体" w:eastAsia="宋体" w:cs="宋体"/>
                <w:b/>
                <w:bCs/>
                <w:i w:val="0"/>
                <w:iCs w:val="0"/>
                <w:color w:val="000000"/>
                <w:sz w:val="22"/>
                <w:szCs w:val="22"/>
                <w:u w:val="none"/>
              </w:rPr>
            </w:pPr>
          </w:p>
        </w:tc>
        <w:tc>
          <w:tcPr>
            <w:tcW w:w="1338" w:type="dxa"/>
            <w:vMerge w:val="continue"/>
            <w:tcBorders>
              <w:left w:val="single" w:color="000000" w:sz="4" w:space="0"/>
              <w:bottom w:val="nil"/>
              <w:right w:val="single" w:color="000000" w:sz="4" w:space="0"/>
            </w:tcBorders>
            <w:shd w:val="clear" w:color="auto" w:fill="auto"/>
            <w:vAlign w:val="center"/>
          </w:tcPr>
          <w:p w14:paraId="25D70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00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1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价（元）</w:t>
            </w:r>
          </w:p>
        </w:tc>
        <w:tc>
          <w:tcPr>
            <w:tcW w:w="82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F4C">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（小写）                  （大写）</w:t>
            </w:r>
          </w:p>
        </w:tc>
      </w:tr>
      <w:tr w14:paraId="031A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A21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一、供应商的资格要求</w:t>
            </w:r>
          </w:p>
          <w:p w14:paraId="7EBAEA2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1、符合《中华人民共和国政府采购法》第二十二条规定；</w:t>
            </w:r>
          </w:p>
          <w:p w14:paraId="6028FB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2、未被“信用中国”网站列入失信被执行人、重大税收违法案件当事人名单、政府采购严重失信行为记录名单；</w:t>
            </w:r>
          </w:p>
          <w:p w14:paraId="61364BB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3、对于参加报价的供应商应为在中华人民共和国境内注册的货物制造商或经销商，须具有有效合法的营业执照；                                                                                                 </w:t>
            </w:r>
          </w:p>
          <w:p w14:paraId="56D6D7F3">
            <w:pPr>
              <w:keepNext w:val="0"/>
              <w:keepLines w:val="0"/>
              <w:widowControl/>
              <w:suppressLineNumbers w:val="0"/>
              <w:jc w:val="left"/>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4、参加报价的供应商须提供近五年（自提交投标文件截止日前推五年，以合同签订时间为准）以来具有与本项目产品相类似的供货业绩（提供合同及相应发票复印件）； </w:t>
            </w:r>
          </w:p>
          <w:p w14:paraId="369C82E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5、本次招标不接受联合体形式报价。</w:t>
            </w:r>
          </w:p>
          <w:p w14:paraId="533BA1DC">
            <w:pPr>
              <w:widowControl/>
              <w:shd w:val="clear" w:color="auto" w:fill="FFFFFF"/>
              <w:adjustRightInd w:val="0"/>
              <w:snapToGrid w:val="0"/>
              <w:spacing w:line="360" w:lineRule="auto"/>
            </w:pPr>
            <w:r>
              <w:rPr>
                <w:rFonts w:hint="eastAsia" w:ascii="宋体" w:hAnsi="宋体" w:cs="仿宋"/>
                <w:b/>
                <w:bCs/>
                <w:color w:val="000000"/>
                <w:spacing w:val="7"/>
                <w:kern w:val="0"/>
                <w:sz w:val="24"/>
                <w:highlight w:val="none"/>
                <w:lang w:val="en-US" w:eastAsia="zh-CN"/>
              </w:rPr>
              <w:t>二、</w:t>
            </w:r>
            <w:r>
              <w:rPr>
                <w:rFonts w:hint="eastAsia" w:asciiTheme="majorEastAsia" w:hAnsiTheme="majorEastAsia" w:eastAsiaTheme="majorEastAsia" w:cstheme="majorEastAsia"/>
                <w:b/>
                <w:bCs/>
                <w:color w:val="000000"/>
                <w:spacing w:val="7"/>
                <w:kern w:val="0"/>
                <w:sz w:val="24"/>
                <w:szCs w:val="24"/>
                <w:highlight w:val="none"/>
                <w:lang w:val="en-US" w:eastAsia="zh-CN"/>
              </w:rPr>
              <w:t>消防栓</w:t>
            </w:r>
            <w:r>
              <w:rPr>
                <w:rFonts w:hint="eastAsia" w:ascii="宋体" w:hAnsi="宋体" w:cs="仿宋"/>
                <w:b/>
                <w:bCs/>
                <w:color w:val="000000"/>
                <w:spacing w:val="7"/>
                <w:kern w:val="0"/>
                <w:sz w:val="24"/>
                <w:highlight w:val="none"/>
              </w:rPr>
              <w:t>材料标准及要求</w:t>
            </w:r>
          </w:p>
          <w:p w14:paraId="63DFB4F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Theme="majorEastAsia" w:hAnsiTheme="majorEastAsia" w:eastAsiaTheme="majorEastAsia" w:cstheme="majorEastAsia"/>
                <w:b/>
                <w:bCs/>
                <w:color w:val="000000"/>
                <w:spacing w:val="7"/>
                <w:kern w:val="0"/>
                <w:sz w:val="24"/>
                <w:szCs w:val="24"/>
                <w:highlight w:val="none"/>
              </w:rPr>
            </w:pPr>
            <w:r>
              <w:rPr>
                <w:rFonts w:hint="eastAsia" w:asciiTheme="majorEastAsia" w:hAnsiTheme="majorEastAsia" w:eastAsiaTheme="majorEastAsia" w:cstheme="majorEastAsia"/>
                <w:b/>
                <w:bCs/>
                <w:color w:val="000000"/>
                <w:spacing w:val="7"/>
                <w:kern w:val="0"/>
                <w:sz w:val="24"/>
                <w:szCs w:val="24"/>
                <w:highlight w:val="none"/>
              </w:rPr>
              <w:t>（一）</w:t>
            </w:r>
            <w:r>
              <w:rPr>
                <w:rFonts w:hint="eastAsia" w:asciiTheme="majorEastAsia" w:hAnsiTheme="majorEastAsia" w:eastAsiaTheme="majorEastAsia" w:cstheme="majorEastAsia"/>
                <w:b/>
                <w:bCs/>
                <w:color w:val="000000"/>
                <w:spacing w:val="7"/>
                <w:kern w:val="0"/>
                <w:sz w:val="24"/>
                <w:szCs w:val="24"/>
                <w:highlight w:val="none"/>
                <w:lang w:val="en-US" w:eastAsia="zh-CN"/>
              </w:rPr>
              <w:t>消防栓</w:t>
            </w:r>
            <w:r>
              <w:rPr>
                <w:rFonts w:hint="eastAsia" w:asciiTheme="majorEastAsia" w:hAnsiTheme="majorEastAsia" w:eastAsiaTheme="majorEastAsia" w:cstheme="majorEastAsia"/>
                <w:b/>
                <w:bCs/>
                <w:color w:val="000000"/>
                <w:spacing w:val="7"/>
                <w:kern w:val="0"/>
                <w:sz w:val="24"/>
                <w:szCs w:val="24"/>
                <w:highlight w:val="none"/>
              </w:rPr>
              <w:t>技术规格</w:t>
            </w:r>
          </w:p>
          <w:p w14:paraId="18B182C2">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SS100/65-1.6室外地上式消火栓供水设施，上部露出地面，标志明显，使用方便。进水口连接形式采用法兰式，大出水口采用通用100毫米口径外螺纹式，小出水口采用通用65毫米口径内扣式,中节法兰20mm,弯管法兰18mm。</w:t>
            </w:r>
          </w:p>
          <w:p w14:paraId="4B508F49">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1.1、消防栓总高度（长度）</w:t>
            </w:r>
            <w:r>
              <w:rPr>
                <w:rFonts w:hint="eastAsia" w:asciiTheme="majorEastAsia" w:hAnsiTheme="majorEastAsia" w:eastAsiaTheme="majorEastAsia" w:cstheme="majorEastAsia"/>
                <w:b/>
                <w:bCs/>
                <w:color w:val="000000"/>
                <w:sz w:val="24"/>
                <w:szCs w:val="24"/>
                <w:highlight w:val="none"/>
                <w:u w:val="single"/>
              </w:rPr>
              <w:t xml:space="preserve"> 1.1-1.2</w:t>
            </w:r>
            <w:r>
              <w:rPr>
                <w:rFonts w:hint="eastAsia" w:asciiTheme="majorEastAsia" w:hAnsiTheme="majorEastAsia" w:eastAsiaTheme="majorEastAsia" w:cstheme="majorEastAsia"/>
                <w:b/>
                <w:bCs/>
                <w:color w:val="000000"/>
                <w:sz w:val="24"/>
                <w:szCs w:val="24"/>
                <w:highlight w:val="none"/>
              </w:rPr>
              <w:t>米  ；其中红色部分高度不低于</w:t>
            </w:r>
            <w:r>
              <w:rPr>
                <w:rFonts w:hint="eastAsia" w:asciiTheme="majorEastAsia" w:hAnsiTheme="majorEastAsia" w:eastAsiaTheme="majorEastAsia" w:cstheme="majorEastAsia"/>
                <w:b/>
                <w:bCs/>
                <w:color w:val="000000"/>
                <w:sz w:val="24"/>
                <w:szCs w:val="24"/>
                <w:highlight w:val="none"/>
                <w:u w:val="single"/>
              </w:rPr>
              <w:t xml:space="preserve"> 70 </w:t>
            </w:r>
            <w:r>
              <w:rPr>
                <w:rFonts w:hint="eastAsia" w:asciiTheme="majorEastAsia" w:hAnsiTheme="majorEastAsia" w:eastAsiaTheme="majorEastAsia" w:cstheme="majorEastAsia"/>
                <w:b/>
                <w:bCs/>
                <w:color w:val="000000"/>
                <w:sz w:val="24"/>
                <w:szCs w:val="24"/>
                <w:highlight w:val="none"/>
              </w:rPr>
              <w:t>公分；黑色部分高度不低于</w:t>
            </w:r>
            <w:r>
              <w:rPr>
                <w:rFonts w:hint="eastAsia" w:asciiTheme="majorEastAsia" w:hAnsiTheme="majorEastAsia" w:eastAsiaTheme="majorEastAsia" w:cstheme="majorEastAsia"/>
                <w:b/>
                <w:bCs/>
                <w:color w:val="000000"/>
                <w:sz w:val="24"/>
                <w:szCs w:val="24"/>
                <w:highlight w:val="none"/>
                <w:u w:val="single"/>
              </w:rPr>
              <w:t xml:space="preserve"> 50  </w:t>
            </w:r>
            <w:r>
              <w:rPr>
                <w:rFonts w:hint="eastAsia" w:asciiTheme="majorEastAsia" w:hAnsiTheme="majorEastAsia" w:eastAsiaTheme="majorEastAsia" w:cstheme="majorEastAsia"/>
                <w:b/>
                <w:bCs/>
                <w:color w:val="000000"/>
                <w:sz w:val="24"/>
                <w:szCs w:val="24"/>
                <w:highlight w:val="none"/>
              </w:rPr>
              <w:t>公分。</w:t>
            </w:r>
          </w:p>
          <w:p w14:paraId="4000609A">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1.2、完整的消防栓重量不少于</w:t>
            </w:r>
            <w:r>
              <w:rPr>
                <w:rFonts w:hint="eastAsia" w:asciiTheme="majorEastAsia" w:hAnsiTheme="majorEastAsia" w:eastAsiaTheme="majorEastAsia" w:cstheme="majorEastAsia"/>
                <w:b/>
                <w:bCs/>
                <w:color w:val="000000"/>
                <w:sz w:val="24"/>
                <w:szCs w:val="24"/>
                <w:highlight w:val="none"/>
                <w:u w:val="single"/>
              </w:rPr>
              <w:t xml:space="preserve">：57 </w:t>
            </w:r>
            <w:r>
              <w:rPr>
                <w:rFonts w:hint="eastAsia" w:asciiTheme="majorEastAsia" w:hAnsiTheme="majorEastAsia" w:eastAsiaTheme="majorEastAsia" w:cstheme="majorEastAsia"/>
                <w:b/>
                <w:bCs/>
                <w:color w:val="000000"/>
                <w:sz w:val="24"/>
                <w:szCs w:val="24"/>
                <w:highlight w:val="none"/>
              </w:rPr>
              <w:t>公斤。</w:t>
            </w:r>
          </w:p>
          <w:p w14:paraId="36A14291">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1.3、消防栓顶部阀杆盖子(帽盖)和栓体材质必须相同。</w:t>
            </w:r>
          </w:p>
          <w:p w14:paraId="3EB7549D">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1.4、DN100*1、DN65*2，三个出水口使用的盖子必须与栓体材质相同，盖子链条须具有防盗功能，不能轻易被拉扯掉。</w:t>
            </w:r>
          </w:p>
          <w:p w14:paraId="054B76A8">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1.5、消防栓红色部分和黑色部分连DN100法兰,，法兰内直径达到</w:t>
            </w:r>
            <w:r>
              <w:rPr>
                <w:rFonts w:hint="eastAsia" w:asciiTheme="majorEastAsia" w:hAnsiTheme="majorEastAsia" w:eastAsiaTheme="majorEastAsia" w:cstheme="majorEastAsia"/>
                <w:b/>
                <w:bCs/>
                <w:color w:val="000000"/>
                <w:sz w:val="24"/>
                <w:szCs w:val="24"/>
                <w:highlight w:val="none"/>
                <w:u w:val="single"/>
              </w:rPr>
              <w:t xml:space="preserve"> 10 </w:t>
            </w:r>
            <w:r>
              <w:rPr>
                <w:rFonts w:hint="eastAsia" w:asciiTheme="majorEastAsia" w:hAnsiTheme="majorEastAsia" w:eastAsiaTheme="majorEastAsia" w:cstheme="majorEastAsia"/>
                <w:b/>
                <w:bCs/>
                <w:color w:val="000000"/>
                <w:sz w:val="24"/>
                <w:szCs w:val="24"/>
                <w:highlight w:val="none"/>
              </w:rPr>
              <w:t>公分，外直径达到</w:t>
            </w:r>
            <w:r>
              <w:rPr>
                <w:rFonts w:hint="eastAsia" w:asciiTheme="majorEastAsia" w:hAnsiTheme="majorEastAsia" w:eastAsiaTheme="majorEastAsia" w:cstheme="majorEastAsia"/>
                <w:b/>
                <w:bCs/>
                <w:color w:val="000000"/>
                <w:sz w:val="24"/>
                <w:szCs w:val="24"/>
                <w:highlight w:val="none"/>
                <w:u w:val="single"/>
              </w:rPr>
              <w:t xml:space="preserve"> 21</w:t>
            </w:r>
            <w:r>
              <w:rPr>
                <w:rFonts w:hint="eastAsia" w:asciiTheme="majorEastAsia" w:hAnsiTheme="majorEastAsia" w:eastAsiaTheme="majorEastAsia" w:cstheme="majorEastAsia"/>
                <w:b/>
                <w:bCs/>
                <w:color w:val="000000"/>
                <w:sz w:val="24"/>
                <w:szCs w:val="24"/>
                <w:highlight w:val="none"/>
              </w:rPr>
              <w:t>公分，厚度不少于</w:t>
            </w:r>
            <w:r>
              <w:rPr>
                <w:rFonts w:hint="eastAsia" w:asciiTheme="majorEastAsia" w:hAnsiTheme="majorEastAsia" w:eastAsiaTheme="majorEastAsia" w:cstheme="majorEastAsia"/>
                <w:b/>
                <w:bCs/>
                <w:color w:val="000000"/>
                <w:sz w:val="24"/>
                <w:szCs w:val="24"/>
                <w:highlight w:val="none"/>
                <w:u w:val="single"/>
              </w:rPr>
              <w:t xml:space="preserve"> 1.6 </w:t>
            </w:r>
            <w:r>
              <w:rPr>
                <w:rFonts w:hint="eastAsia" w:asciiTheme="majorEastAsia" w:hAnsiTheme="majorEastAsia" w:eastAsiaTheme="majorEastAsia" w:cstheme="majorEastAsia"/>
                <w:b/>
                <w:bCs/>
                <w:color w:val="000000"/>
                <w:sz w:val="24"/>
                <w:szCs w:val="24"/>
                <w:highlight w:val="none"/>
              </w:rPr>
              <w:t>公分；法兰孔眼为8眼，每二个相临螺孔边与边之间的间隔距离为</w:t>
            </w:r>
            <w:r>
              <w:rPr>
                <w:rFonts w:hint="eastAsia" w:asciiTheme="majorEastAsia" w:hAnsiTheme="majorEastAsia" w:eastAsiaTheme="majorEastAsia" w:cstheme="majorEastAsia"/>
                <w:b/>
                <w:bCs/>
                <w:color w:val="000000"/>
                <w:sz w:val="24"/>
                <w:szCs w:val="24"/>
                <w:highlight w:val="none"/>
                <w:u w:val="single"/>
              </w:rPr>
              <w:t xml:space="preserve"> 5</w:t>
            </w:r>
            <w:r>
              <w:rPr>
                <w:rFonts w:hint="eastAsia" w:asciiTheme="majorEastAsia" w:hAnsiTheme="majorEastAsia" w:eastAsiaTheme="majorEastAsia" w:cstheme="majorEastAsia"/>
                <w:b/>
                <w:bCs/>
                <w:color w:val="000000"/>
                <w:sz w:val="24"/>
                <w:szCs w:val="24"/>
                <w:highlight w:val="none"/>
              </w:rPr>
              <w:t xml:space="preserve"> 公分。</w:t>
            </w:r>
          </w:p>
          <w:p w14:paraId="6F173DE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（二）主要零部件基本要求</w:t>
            </w:r>
          </w:p>
          <w:tbl>
            <w:tblPr>
              <w:tblStyle w:val="18"/>
              <w:tblW w:w="900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641"/>
              <w:gridCol w:w="4592"/>
            </w:tblGrid>
            <w:tr w14:paraId="7AE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20A33B9E">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序号</w:t>
                  </w:r>
                </w:p>
              </w:tc>
              <w:tc>
                <w:tcPr>
                  <w:tcW w:w="3641" w:type="dxa"/>
                  <w:tcBorders>
                    <w:top w:val="single" w:color="auto" w:sz="4" w:space="0"/>
                    <w:left w:val="nil"/>
                    <w:bottom w:val="single" w:color="auto" w:sz="4" w:space="0"/>
                    <w:right w:val="single" w:color="auto" w:sz="4" w:space="0"/>
                  </w:tcBorders>
                  <w:noWrap w:val="0"/>
                  <w:vAlign w:val="center"/>
                </w:tcPr>
                <w:p w14:paraId="3D73B599">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名称</w:t>
                  </w:r>
                </w:p>
              </w:tc>
              <w:tc>
                <w:tcPr>
                  <w:tcW w:w="4592" w:type="dxa"/>
                  <w:tcBorders>
                    <w:top w:val="single" w:color="auto" w:sz="4" w:space="0"/>
                    <w:left w:val="nil"/>
                    <w:bottom w:val="single" w:color="auto" w:sz="4" w:space="0"/>
                    <w:right w:val="single" w:color="auto" w:sz="4" w:space="0"/>
                  </w:tcBorders>
                  <w:noWrap w:val="0"/>
                  <w:vAlign w:val="center"/>
                </w:tcPr>
                <w:p w14:paraId="3822584B">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★材质</w:t>
                  </w:r>
                </w:p>
              </w:tc>
            </w:tr>
            <w:tr w14:paraId="0F37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7A317D3F">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1</w:t>
                  </w:r>
                </w:p>
              </w:tc>
              <w:tc>
                <w:tcPr>
                  <w:tcW w:w="3641" w:type="dxa"/>
                  <w:tcBorders>
                    <w:top w:val="single" w:color="auto" w:sz="4" w:space="0"/>
                    <w:left w:val="nil"/>
                    <w:bottom w:val="single" w:color="auto" w:sz="4" w:space="0"/>
                    <w:right w:val="single" w:color="auto" w:sz="4" w:space="0"/>
                  </w:tcBorders>
                  <w:noWrap w:val="0"/>
                  <w:vAlign w:val="center"/>
                </w:tcPr>
                <w:p w14:paraId="6AFC9A78">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栓身、阀体、法兰接管、弯管</w:t>
                  </w:r>
                </w:p>
              </w:tc>
              <w:tc>
                <w:tcPr>
                  <w:tcW w:w="4592" w:type="dxa"/>
                  <w:tcBorders>
                    <w:top w:val="single" w:color="auto" w:sz="4" w:space="0"/>
                    <w:left w:val="nil"/>
                    <w:bottom w:val="single" w:color="auto" w:sz="4" w:space="0"/>
                    <w:right w:val="single" w:color="auto" w:sz="4" w:space="0"/>
                  </w:tcBorders>
                  <w:noWrap w:val="0"/>
                  <w:vAlign w:val="center"/>
                </w:tcPr>
                <w:p w14:paraId="60107075">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QT450-10球墨铸铁</w:t>
                  </w:r>
                </w:p>
              </w:tc>
            </w:tr>
            <w:tr w14:paraId="32D1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28695000">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2</w:t>
                  </w:r>
                </w:p>
              </w:tc>
              <w:tc>
                <w:tcPr>
                  <w:tcW w:w="3641" w:type="dxa"/>
                  <w:tcBorders>
                    <w:top w:val="single" w:color="auto" w:sz="4" w:space="0"/>
                    <w:left w:val="nil"/>
                    <w:bottom w:val="single" w:color="auto" w:sz="4" w:space="0"/>
                    <w:right w:val="single" w:color="auto" w:sz="4" w:space="0"/>
                  </w:tcBorders>
                  <w:noWrap w:val="0"/>
                  <w:vAlign w:val="center"/>
                </w:tcPr>
                <w:p w14:paraId="63605664">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驱动螺杆</w:t>
                  </w:r>
                </w:p>
              </w:tc>
              <w:tc>
                <w:tcPr>
                  <w:tcW w:w="4592" w:type="dxa"/>
                  <w:tcBorders>
                    <w:top w:val="single" w:color="auto" w:sz="4" w:space="0"/>
                    <w:left w:val="nil"/>
                    <w:bottom w:val="single" w:color="auto" w:sz="4" w:space="0"/>
                    <w:right w:val="single" w:color="auto" w:sz="4" w:space="0"/>
                  </w:tcBorders>
                  <w:noWrap w:val="0"/>
                  <w:vAlign w:val="center"/>
                </w:tcPr>
                <w:p w14:paraId="756A8E61">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35#钢，表面镀铬</w:t>
                  </w:r>
                </w:p>
              </w:tc>
            </w:tr>
            <w:tr w14:paraId="4C69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40AEF104">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3</w:t>
                  </w:r>
                </w:p>
              </w:tc>
              <w:tc>
                <w:tcPr>
                  <w:tcW w:w="3641" w:type="dxa"/>
                  <w:tcBorders>
                    <w:top w:val="single" w:color="auto" w:sz="4" w:space="0"/>
                    <w:left w:val="nil"/>
                    <w:bottom w:val="single" w:color="auto" w:sz="4" w:space="0"/>
                    <w:right w:val="single" w:color="auto" w:sz="4" w:space="0"/>
                  </w:tcBorders>
                  <w:noWrap w:val="0"/>
                  <w:vAlign w:val="center"/>
                </w:tcPr>
                <w:p w14:paraId="1B9465AC">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阀座、阀杆螺母</w:t>
                  </w:r>
                </w:p>
              </w:tc>
              <w:tc>
                <w:tcPr>
                  <w:tcW w:w="4592" w:type="dxa"/>
                  <w:tcBorders>
                    <w:top w:val="single" w:color="auto" w:sz="4" w:space="0"/>
                    <w:left w:val="nil"/>
                    <w:bottom w:val="single" w:color="auto" w:sz="4" w:space="0"/>
                    <w:right w:val="single" w:color="auto" w:sz="4" w:space="0"/>
                  </w:tcBorders>
                  <w:noWrap w:val="0"/>
                  <w:vAlign w:val="center"/>
                </w:tcPr>
                <w:p w14:paraId="6028938A">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ZcuZn  38铜合金</w:t>
                  </w:r>
                </w:p>
              </w:tc>
            </w:tr>
            <w:tr w14:paraId="7720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14:paraId="4DCAF9B6">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sz w:val="24"/>
                      <w:szCs w:val="24"/>
                      <w:highlight w:val="none"/>
                    </w:rPr>
                    <w:t>4</w:t>
                  </w:r>
                </w:p>
              </w:tc>
              <w:tc>
                <w:tcPr>
                  <w:tcW w:w="3641" w:type="dxa"/>
                  <w:tcBorders>
                    <w:top w:val="single" w:color="auto" w:sz="4" w:space="0"/>
                    <w:left w:val="nil"/>
                    <w:bottom w:val="single" w:color="auto" w:sz="4" w:space="0"/>
                    <w:right w:val="single" w:color="auto" w:sz="4" w:space="0"/>
                  </w:tcBorders>
                  <w:noWrap w:val="0"/>
                  <w:vAlign w:val="center"/>
                </w:tcPr>
                <w:p w14:paraId="0E97B105">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大出水口、小出水口</w:t>
                  </w:r>
                </w:p>
              </w:tc>
              <w:tc>
                <w:tcPr>
                  <w:tcW w:w="4592" w:type="dxa"/>
                  <w:tcBorders>
                    <w:top w:val="single" w:color="auto" w:sz="4" w:space="0"/>
                    <w:left w:val="nil"/>
                    <w:bottom w:val="single" w:color="auto" w:sz="4" w:space="0"/>
                    <w:right w:val="single" w:color="auto" w:sz="4" w:space="0"/>
                  </w:tcBorders>
                  <w:noWrap w:val="0"/>
                  <w:vAlign w:val="center"/>
                </w:tcPr>
                <w:p w14:paraId="480C81B6">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333333"/>
                      <w:kern w:val="0"/>
                      <w:sz w:val="24"/>
                      <w:szCs w:val="24"/>
                      <w:highlight w:val="none"/>
                    </w:rPr>
                    <w:t>ZHPb59-1铅黄铜</w:t>
                  </w:r>
                </w:p>
              </w:tc>
            </w:tr>
          </w:tbl>
          <w:p w14:paraId="5195DD8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（三）技术要求</w:t>
            </w:r>
          </w:p>
          <w:p w14:paraId="693D4D9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3.1消火栓的设计制造应符合GB4452-2011国家标准的规定，并规范性引用文件。</w:t>
            </w:r>
          </w:p>
          <w:p w14:paraId="36282236">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GB/T197普通螺纹公差</w:t>
            </w:r>
          </w:p>
          <w:p w14:paraId="21C069E6">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GB/T230.1金属材料，洛氏硬度试验第一部分：试验方法</w:t>
            </w:r>
          </w:p>
          <w:p w14:paraId="312D0DB9">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GB/T699优质碳素结构钢</w:t>
            </w:r>
          </w:p>
          <w:p w14:paraId="66BC1621">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GB/T1176铸造铜合金技术条件</w:t>
            </w:r>
          </w:p>
          <w:p w14:paraId="19E7C335">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GB/T1348球墨铸铁件</w:t>
            </w:r>
          </w:p>
          <w:p w14:paraId="2086B8AD">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GB/T1804一般公差，未注公差的线性和角度尺寸的公差</w:t>
            </w:r>
          </w:p>
          <w:p w14:paraId="7B8B4536">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GB/T307  55o非密封管螺纹</w:t>
            </w:r>
          </w:p>
          <w:p w14:paraId="52334E5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GB/T9439灰铸铁件</w:t>
            </w:r>
          </w:p>
          <w:p w14:paraId="170AD012">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GB12514.1消防接口第一部分：消防接口通用技术条件</w:t>
            </w:r>
          </w:p>
          <w:p w14:paraId="71FFEE58">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GB12514.2消防接口第二部分：内扣式消防接口型式和基本参数</w:t>
            </w:r>
          </w:p>
          <w:p w14:paraId="2C91F221">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3.2消火栓公称通径为100毫米，公称压力: PN16,强度试验为公称压力的1.5倍。</w:t>
            </w:r>
          </w:p>
          <w:p w14:paraId="13986E30">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3.3消火栓适用介质：消防管网中的水,介质温度≤65℃；</w:t>
            </w:r>
          </w:p>
          <w:p w14:paraId="63565A03">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3.4消火栓采用法兰连接。</w:t>
            </w:r>
          </w:p>
          <w:p w14:paraId="7D061F9E">
            <w:pPr>
              <w:keepNext w:val="0"/>
              <w:keepLines w:val="0"/>
              <w:pageBreakBefore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宋体" w:hAnsi="宋体" w:cs="宋体"/>
                <w:bCs/>
                <w:sz w:val="24"/>
                <w:highlight w:val="none"/>
              </w:rPr>
            </w:pPr>
            <w:r>
              <w:rPr>
                <w:rFonts w:hint="eastAsia" w:asciiTheme="majorEastAsia" w:hAnsiTheme="majorEastAsia" w:eastAsiaTheme="majorEastAsia" w:cstheme="majorEastAsia"/>
                <w:b/>
                <w:bCs/>
                <w:color w:val="000000"/>
                <w:sz w:val="24"/>
                <w:szCs w:val="24"/>
                <w:highlight w:val="none"/>
              </w:rPr>
              <w:t>法兰式消火栓的法兰连接尺寸应符合图1和表1的规定</w:t>
            </w:r>
          </w:p>
          <w:p w14:paraId="3BC01BEB">
            <w:pPr>
              <w:widowControl/>
              <w:spacing w:line="420" w:lineRule="atLeast"/>
              <w:jc w:val="left"/>
              <w:rPr>
                <w:rFonts w:ascii="宋体" w:hAnsi="宋体" w:cs="宋体"/>
                <w:bCs/>
                <w:sz w:val="24"/>
                <w:highlight w:val="none"/>
              </w:rPr>
            </w:pPr>
            <w:r>
              <w:rPr>
                <w:rFonts w:hint="eastAsia" w:ascii="宋体" w:hAnsi="宋体" w:cs="宋体"/>
                <w:bCs/>
                <w:sz w:val="24"/>
                <w:highlight w:val="none"/>
              </w:rPr>
              <w:t>图1</w:t>
            </w:r>
          </w:p>
          <w:p w14:paraId="0220A760">
            <w:pPr>
              <w:widowControl/>
              <w:spacing w:line="420" w:lineRule="atLeast"/>
              <w:jc w:val="left"/>
              <w:rPr>
                <w:rFonts w:ascii="宋体" w:hAnsi="宋体" w:cs="宋体"/>
                <w:sz w:val="24"/>
                <w:highlight w:val="none"/>
              </w:rPr>
            </w:pPr>
            <w:r>
              <w:rPr>
                <w:rFonts w:hint="eastAsia" w:ascii="宋体" w:hAnsi="宋体" w:cs="宋体"/>
                <w:color w:val="333333"/>
                <w:kern w:val="0"/>
                <w:sz w:val="24"/>
                <w:highlight w:val="none"/>
              </w:rPr>
              <w:fldChar w:fldCharType="begin"/>
            </w:r>
            <w:r>
              <w:rPr>
                <w:rFonts w:hint="eastAsia" w:ascii="宋体" w:hAnsi="宋体" w:cs="宋体"/>
                <w:color w:val="333333"/>
                <w:kern w:val="0"/>
                <w:sz w:val="24"/>
                <w:highlight w:val="none"/>
              </w:rPr>
              <w:instrText xml:space="preserve">INCLUDEPICTURE \d "http://zfcg.nantong.gov.cn/TPBidder/fui/js/lib/ewebeditor/uploadfile/20190328080710577001.jpg" \* MERGEFORMATINET </w:instrText>
            </w:r>
            <w:r>
              <w:rPr>
                <w:rFonts w:hint="eastAsia" w:ascii="宋体" w:hAnsi="宋体" w:cs="宋体"/>
                <w:color w:val="333333"/>
                <w:kern w:val="0"/>
                <w:sz w:val="24"/>
                <w:highlight w:val="none"/>
              </w:rPr>
              <w:fldChar w:fldCharType="separate"/>
            </w:r>
            <w:r>
              <w:rPr>
                <w:rFonts w:hint="eastAsia" w:ascii="宋体" w:hAnsi="宋体" w:cs="宋体"/>
                <w:color w:val="333333"/>
                <w:kern w:val="0"/>
                <w:sz w:val="24"/>
                <w:highlight w:val="none"/>
              </w:rPr>
              <w:drawing>
                <wp:inline distT="0" distB="0" distL="114300" distR="114300">
                  <wp:extent cx="1343025" cy="17335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43025" cy="1733550"/>
                          </a:xfrm>
                          <a:prstGeom prst="rect">
                            <a:avLst/>
                          </a:prstGeom>
                          <a:noFill/>
                          <a:ln>
                            <a:noFill/>
                          </a:ln>
                        </pic:spPr>
                      </pic:pic>
                    </a:graphicData>
                  </a:graphic>
                </wp:inline>
              </w:drawing>
            </w:r>
            <w:r>
              <w:rPr>
                <w:rFonts w:hint="eastAsia" w:ascii="宋体" w:hAnsi="宋体" w:cs="宋体"/>
                <w:color w:val="333333"/>
                <w:kern w:val="0"/>
                <w:sz w:val="24"/>
                <w:highlight w:val="none"/>
              </w:rPr>
              <w:fldChar w:fldCharType="end"/>
            </w:r>
            <w:r>
              <w:rPr>
                <w:rFonts w:hint="eastAsia" w:ascii="宋体" w:hAnsi="宋体" w:cs="宋体"/>
                <w:color w:val="333333"/>
                <w:kern w:val="0"/>
                <w:sz w:val="24"/>
                <w:highlight w:val="none"/>
              </w:rPr>
              <w:t> </w:t>
            </w:r>
          </w:p>
          <w:p w14:paraId="1F5DAF7F">
            <w:pPr>
              <w:widowControl/>
              <w:spacing w:line="420" w:lineRule="atLeast"/>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表1</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215"/>
              <w:gridCol w:w="1218"/>
              <w:gridCol w:w="1369"/>
              <w:gridCol w:w="1218"/>
              <w:gridCol w:w="1216"/>
              <w:gridCol w:w="1218"/>
              <w:gridCol w:w="1369"/>
            </w:tblGrid>
            <w:tr w14:paraId="4484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2DA06753">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 </w:t>
                  </w:r>
                </w:p>
                <w:p w14:paraId="57301F62">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进水口</w:t>
                  </w:r>
                </w:p>
                <w:p w14:paraId="7947A787">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公称通径</w:t>
                  </w:r>
                </w:p>
              </w:tc>
              <w:tc>
                <w:tcPr>
                  <w:tcW w:w="1193" w:type="pct"/>
                  <w:gridSpan w:val="2"/>
                  <w:tcBorders>
                    <w:top w:val="single" w:color="auto" w:sz="4" w:space="0"/>
                    <w:left w:val="nil"/>
                    <w:bottom w:val="single" w:color="auto" w:sz="4" w:space="0"/>
                    <w:right w:val="single" w:color="auto" w:sz="4" w:space="0"/>
                  </w:tcBorders>
                  <w:noWrap w:val="0"/>
                  <w:vAlign w:val="center"/>
                </w:tcPr>
                <w:p w14:paraId="35498529">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法兰外径</w:t>
                  </w:r>
                </w:p>
                <w:p w14:paraId="434FCDCE">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D</w:t>
                  </w:r>
                </w:p>
              </w:tc>
              <w:tc>
                <w:tcPr>
                  <w:tcW w:w="1268" w:type="pct"/>
                  <w:gridSpan w:val="2"/>
                  <w:tcBorders>
                    <w:top w:val="single" w:color="auto" w:sz="4" w:space="0"/>
                    <w:left w:val="nil"/>
                    <w:bottom w:val="single" w:color="auto" w:sz="4" w:space="0"/>
                    <w:right w:val="single" w:color="auto" w:sz="4" w:space="0"/>
                  </w:tcBorders>
                  <w:noWrap w:val="0"/>
                  <w:vAlign w:val="center"/>
                </w:tcPr>
                <w:p w14:paraId="33DDA916">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螺栓孔中心圆直径</w:t>
                  </w:r>
                </w:p>
                <w:p w14:paraId="1A7095CA">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D1</w:t>
                  </w:r>
                </w:p>
              </w:tc>
              <w:tc>
                <w:tcPr>
                  <w:tcW w:w="1193" w:type="pct"/>
                  <w:gridSpan w:val="2"/>
                  <w:tcBorders>
                    <w:top w:val="single" w:color="auto" w:sz="4" w:space="0"/>
                    <w:left w:val="nil"/>
                    <w:bottom w:val="single" w:color="auto" w:sz="4" w:space="0"/>
                    <w:right w:val="single" w:color="auto" w:sz="4" w:space="0"/>
                  </w:tcBorders>
                  <w:noWrap w:val="0"/>
                  <w:vAlign w:val="center"/>
                </w:tcPr>
                <w:p w14:paraId="0C4F7704">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螺栓孔直径</w:t>
                  </w:r>
                </w:p>
                <w:p w14:paraId="04B36C4D">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d。</w:t>
                  </w:r>
                </w:p>
              </w:tc>
              <w:tc>
                <w:tcPr>
                  <w:tcW w:w="671" w:type="pct"/>
                  <w:vMerge w:val="restart"/>
                  <w:tcBorders>
                    <w:top w:val="single" w:color="auto" w:sz="4" w:space="0"/>
                    <w:left w:val="nil"/>
                    <w:bottom w:val="single" w:color="auto" w:sz="4" w:space="0"/>
                    <w:right w:val="single" w:color="auto" w:sz="4" w:space="0"/>
                  </w:tcBorders>
                  <w:noWrap w:val="0"/>
                  <w:vAlign w:val="center"/>
                </w:tcPr>
                <w:p w14:paraId="655837E5">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螺栓数/个</w:t>
                  </w:r>
                </w:p>
              </w:tc>
            </w:tr>
            <w:tr w14:paraId="4F55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55A5BB13">
                  <w:pPr>
                    <w:widowControl/>
                    <w:jc w:val="left"/>
                    <w:rPr>
                      <w:rFonts w:hint="eastAsia" w:asciiTheme="minorEastAsia" w:hAnsiTheme="minorEastAsia" w:eastAsiaTheme="minorEastAsia" w:cstheme="minorEastAsia"/>
                      <w:b/>
                      <w:bCs/>
                      <w:color w:val="333333"/>
                      <w:sz w:val="24"/>
                      <w:szCs w:val="24"/>
                      <w:highlight w:val="none"/>
                    </w:rPr>
                  </w:pPr>
                </w:p>
              </w:tc>
              <w:tc>
                <w:tcPr>
                  <w:tcW w:w="596" w:type="pct"/>
                  <w:tcBorders>
                    <w:top w:val="single" w:color="auto" w:sz="4" w:space="0"/>
                    <w:left w:val="nil"/>
                    <w:bottom w:val="single" w:color="auto" w:sz="4" w:space="0"/>
                    <w:right w:val="single" w:color="auto" w:sz="4" w:space="0"/>
                  </w:tcBorders>
                  <w:noWrap w:val="0"/>
                  <w:vAlign w:val="center"/>
                </w:tcPr>
                <w:p w14:paraId="13985E3A">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基本尺寸</w:t>
                  </w:r>
                </w:p>
              </w:tc>
              <w:tc>
                <w:tcPr>
                  <w:tcW w:w="597" w:type="pct"/>
                  <w:tcBorders>
                    <w:top w:val="single" w:color="auto" w:sz="4" w:space="0"/>
                    <w:left w:val="nil"/>
                    <w:bottom w:val="single" w:color="auto" w:sz="4" w:space="0"/>
                    <w:right w:val="single" w:color="auto" w:sz="4" w:space="0"/>
                  </w:tcBorders>
                  <w:noWrap w:val="0"/>
                  <w:vAlign w:val="center"/>
                </w:tcPr>
                <w:p w14:paraId="45C3C04D">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极限偏差</w:t>
                  </w:r>
                </w:p>
              </w:tc>
              <w:tc>
                <w:tcPr>
                  <w:tcW w:w="671" w:type="pct"/>
                  <w:tcBorders>
                    <w:top w:val="single" w:color="auto" w:sz="4" w:space="0"/>
                    <w:left w:val="nil"/>
                    <w:bottom w:val="single" w:color="auto" w:sz="4" w:space="0"/>
                    <w:right w:val="single" w:color="auto" w:sz="4" w:space="0"/>
                  </w:tcBorders>
                  <w:noWrap w:val="0"/>
                  <w:vAlign w:val="center"/>
                </w:tcPr>
                <w:p w14:paraId="52264CD9">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基本尺寸</w:t>
                  </w:r>
                </w:p>
              </w:tc>
              <w:tc>
                <w:tcPr>
                  <w:tcW w:w="596" w:type="pct"/>
                  <w:tcBorders>
                    <w:top w:val="single" w:color="auto" w:sz="4" w:space="0"/>
                    <w:left w:val="nil"/>
                    <w:bottom w:val="single" w:color="auto" w:sz="4" w:space="0"/>
                    <w:right w:val="single" w:color="auto" w:sz="4" w:space="0"/>
                  </w:tcBorders>
                  <w:noWrap w:val="0"/>
                  <w:vAlign w:val="center"/>
                </w:tcPr>
                <w:p w14:paraId="229144BD">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极限偏差</w:t>
                  </w:r>
                </w:p>
              </w:tc>
              <w:tc>
                <w:tcPr>
                  <w:tcW w:w="596" w:type="pct"/>
                  <w:tcBorders>
                    <w:top w:val="single" w:color="auto" w:sz="4" w:space="0"/>
                    <w:left w:val="nil"/>
                    <w:bottom w:val="single" w:color="auto" w:sz="4" w:space="0"/>
                    <w:right w:val="single" w:color="auto" w:sz="4" w:space="0"/>
                  </w:tcBorders>
                  <w:noWrap w:val="0"/>
                  <w:vAlign w:val="center"/>
                </w:tcPr>
                <w:p w14:paraId="4DA88077">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基本尺寸</w:t>
                  </w:r>
                </w:p>
              </w:tc>
              <w:tc>
                <w:tcPr>
                  <w:tcW w:w="597" w:type="pct"/>
                  <w:tcBorders>
                    <w:top w:val="single" w:color="auto" w:sz="4" w:space="0"/>
                    <w:left w:val="nil"/>
                    <w:bottom w:val="single" w:color="auto" w:sz="4" w:space="0"/>
                    <w:right w:val="single" w:color="auto" w:sz="4" w:space="0"/>
                  </w:tcBorders>
                  <w:noWrap w:val="0"/>
                  <w:vAlign w:val="center"/>
                </w:tcPr>
                <w:p w14:paraId="4C0713E3">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极限偏差</w:t>
                  </w:r>
                </w:p>
              </w:tc>
              <w:tc>
                <w:tcPr>
                  <w:tcW w:w="671" w:type="pct"/>
                  <w:vMerge w:val="continue"/>
                  <w:tcBorders>
                    <w:top w:val="single" w:color="auto" w:sz="4" w:space="0"/>
                    <w:left w:val="nil"/>
                    <w:bottom w:val="single" w:color="auto" w:sz="4" w:space="0"/>
                    <w:right w:val="single" w:color="auto" w:sz="4" w:space="0"/>
                  </w:tcBorders>
                  <w:noWrap w:val="0"/>
                  <w:vAlign w:val="center"/>
                </w:tcPr>
                <w:p w14:paraId="42D130C2">
                  <w:pPr>
                    <w:widowControl/>
                    <w:jc w:val="left"/>
                    <w:rPr>
                      <w:rFonts w:hint="eastAsia" w:asciiTheme="minorEastAsia" w:hAnsiTheme="minorEastAsia" w:eastAsiaTheme="minorEastAsia" w:cstheme="minorEastAsia"/>
                      <w:b/>
                      <w:bCs/>
                      <w:color w:val="333333"/>
                      <w:sz w:val="24"/>
                      <w:szCs w:val="24"/>
                      <w:highlight w:val="none"/>
                    </w:rPr>
                  </w:pPr>
                </w:p>
              </w:tc>
            </w:tr>
            <w:tr w14:paraId="1248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14:paraId="5DF09943">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100</w:t>
                  </w:r>
                </w:p>
              </w:tc>
              <w:tc>
                <w:tcPr>
                  <w:tcW w:w="596" w:type="pct"/>
                  <w:tcBorders>
                    <w:top w:val="single" w:color="auto" w:sz="4" w:space="0"/>
                    <w:left w:val="nil"/>
                    <w:bottom w:val="single" w:color="auto" w:sz="4" w:space="0"/>
                    <w:right w:val="single" w:color="auto" w:sz="4" w:space="0"/>
                  </w:tcBorders>
                  <w:noWrap w:val="0"/>
                  <w:vAlign w:val="center"/>
                </w:tcPr>
                <w:p w14:paraId="726B9B65">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220</w:t>
                  </w:r>
                </w:p>
              </w:tc>
              <w:tc>
                <w:tcPr>
                  <w:tcW w:w="597" w:type="pct"/>
                  <w:tcBorders>
                    <w:top w:val="single" w:color="auto" w:sz="4" w:space="0"/>
                    <w:left w:val="nil"/>
                    <w:bottom w:val="single" w:color="auto" w:sz="4" w:space="0"/>
                    <w:right w:val="single" w:color="auto" w:sz="4" w:space="0"/>
                  </w:tcBorders>
                  <w:noWrap w:val="0"/>
                  <w:vAlign w:val="center"/>
                </w:tcPr>
                <w:p w14:paraId="2A51EDAA">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±2.80</w:t>
                  </w:r>
                </w:p>
              </w:tc>
              <w:tc>
                <w:tcPr>
                  <w:tcW w:w="671" w:type="pct"/>
                  <w:tcBorders>
                    <w:top w:val="single" w:color="auto" w:sz="4" w:space="0"/>
                    <w:left w:val="nil"/>
                    <w:bottom w:val="single" w:color="auto" w:sz="4" w:space="0"/>
                    <w:right w:val="single" w:color="auto" w:sz="4" w:space="0"/>
                  </w:tcBorders>
                  <w:noWrap w:val="0"/>
                  <w:vAlign w:val="center"/>
                </w:tcPr>
                <w:p w14:paraId="25DE328A">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180</w:t>
                  </w:r>
                </w:p>
              </w:tc>
              <w:tc>
                <w:tcPr>
                  <w:tcW w:w="596" w:type="pct"/>
                  <w:tcBorders>
                    <w:top w:val="single" w:color="auto" w:sz="4" w:space="0"/>
                    <w:left w:val="nil"/>
                    <w:bottom w:val="single" w:color="auto" w:sz="4" w:space="0"/>
                    <w:right w:val="single" w:color="auto" w:sz="4" w:space="0"/>
                  </w:tcBorders>
                  <w:noWrap w:val="0"/>
                  <w:vAlign w:val="center"/>
                </w:tcPr>
                <w:p w14:paraId="6DD75069">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±0.50</w:t>
                  </w:r>
                </w:p>
              </w:tc>
              <w:tc>
                <w:tcPr>
                  <w:tcW w:w="596" w:type="pct"/>
                  <w:tcBorders>
                    <w:top w:val="single" w:color="auto" w:sz="4" w:space="0"/>
                    <w:left w:val="nil"/>
                    <w:bottom w:val="single" w:color="auto" w:sz="4" w:space="0"/>
                    <w:right w:val="single" w:color="auto" w:sz="4" w:space="0"/>
                  </w:tcBorders>
                  <w:noWrap w:val="0"/>
                  <w:vAlign w:val="center"/>
                </w:tcPr>
                <w:p w14:paraId="6D9877E6">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17.5</w:t>
                  </w:r>
                </w:p>
              </w:tc>
              <w:tc>
                <w:tcPr>
                  <w:tcW w:w="597" w:type="pct"/>
                  <w:tcBorders>
                    <w:top w:val="single" w:color="auto" w:sz="4" w:space="0"/>
                    <w:left w:val="nil"/>
                    <w:bottom w:val="single" w:color="auto" w:sz="4" w:space="0"/>
                    <w:right w:val="single" w:color="auto" w:sz="4" w:space="0"/>
                  </w:tcBorders>
                  <w:noWrap w:val="0"/>
                  <w:vAlign w:val="center"/>
                </w:tcPr>
                <w:p w14:paraId="08275B72">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kern w:val="0"/>
                      <w:sz w:val="24"/>
                      <w:szCs w:val="24"/>
                      <w:highlight w:val="none"/>
                    </w:rPr>
                    <w:t>+0.43</w:t>
                  </w:r>
                </w:p>
                <w:p w14:paraId="3F34A4BA">
                  <w:pPr>
                    <w:widowControl/>
                    <w:spacing w:line="360" w:lineRule="auto"/>
                    <w:ind w:firstLine="361" w:firstLineChars="15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0</w:t>
                  </w:r>
                </w:p>
              </w:tc>
              <w:tc>
                <w:tcPr>
                  <w:tcW w:w="671" w:type="pct"/>
                  <w:tcBorders>
                    <w:top w:val="single" w:color="auto" w:sz="4" w:space="0"/>
                    <w:left w:val="nil"/>
                    <w:bottom w:val="single" w:color="auto" w:sz="4" w:space="0"/>
                    <w:right w:val="single" w:color="auto" w:sz="4" w:space="0"/>
                  </w:tcBorders>
                  <w:noWrap w:val="0"/>
                  <w:vAlign w:val="center"/>
                </w:tcPr>
                <w:p w14:paraId="759C075B">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333333"/>
                      <w:sz w:val="24"/>
                      <w:szCs w:val="24"/>
                      <w:highlight w:val="none"/>
                    </w:rPr>
                    <w:t>8</w:t>
                  </w:r>
                </w:p>
              </w:tc>
            </w:tr>
          </w:tbl>
          <w:p w14:paraId="1C50B57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（四）结构及性能要求</w:t>
            </w:r>
          </w:p>
          <w:p w14:paraId="0F6337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4.1消火栓的结构设计应保证消火栓在使用时的内部最小流通面积不小于公称通径的85%。</w:t>
            </w:r>
          </w:p>
          <w:p w14:paraId="387F81D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4.2室外消火栓外形结构：有帽盖、本体、大出水口、内扣式消防接口、阀体、弯管等零件组装而成。</w:t>
            </w:r>
          </w:p>
          <w:p w14:paraId="2561EB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4.3从内部结构：有阀杆接头、杠座、阀杆座、导柱、导管、阀瓣、密合板、阀座。</w:t>
            </w:r>
          </w:p>
          <w:p w14:paraId="210836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4.4消火栓采用从上向下压紧形式的密封结构，密封性能可靠；阀瓣密封采用丁晴橡胶，完全符合涉水产品卫生许可标准。</w:t>
            </w:r>
          </w:p>
          <w:p w14:paraId="351970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（五）外观质量</w:t>
            </w:r>
          </w:p>
          <w:p w14:paraId="02B787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5.1消火栓的铸铁件表面应进行喷砂处理，以除去铁粉、水份及油等杂物。</w:t>
            </w:r>
          </w:p>
          <w:p w14:paraId="66C929E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5.2消火栓内腔应涂防锈漆，栓体表面涂丙烯酸防锈底漆后再涂丙烯酸防紫外线大红漆，防止生锈和流体的腐蚀。</w:t>
            </w:r>
          </w:p>
          <w:p w14:paraId="2C3C96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5.3消火栓的铸铜件表面应无明显砂眼，气孔，裂纹，等缺陷。</w:t>
            </w:r>
          </w:p>
          <w:p w14:paraId="099D7A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（六）螺纹</w:t>
            </w:r>
          </w:p>
          <w:p w14:paraId="55861F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消火栓管螺纹的基本尺寸和公差应符合GB/T7307的规定。普通螺纹的公差应符合GB/T197中内螺纹7H级，外螺纹8g级的要求，螺纹应无缺牙，表面应光洁。</w:t>
            </w:r>
          </w:p>
          <w:p w14:paraId="7BDDFA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（七）开启高度</w:t>
            </w:r>
          </w:p>
          <w:p w14:paraId="56325E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进水口公称通径为100毫米的消火栓开启高度应大于50毫米。</w:t>
            </w:r>
          </w:p>
          <w:p w14:paraId="36AD06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（八）排放余水装置</w:t>
            </w:r>
          </w:p>
          <w:p w14:paraId="09A812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消火栓应有自动排放余水装置（弹簧----弹子），在消火栓处于正常使用（全开启）状态，该装置不得发生渗漏现象。</w:t>
            </w:r>
          </w:p>
          <w:p w14:paraId="4C60F9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（九）消防接口</w:t>
            </w:r>
          </w:p>
          <w:p w14:paraId="0165DB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9.1进水口公称通径为100mm的地上消火栓应用GB12514.2规定的KWS65型外螺纹固定接口。</w:t>
            </w:r>
          </w:p>
          <w:p w14:paraId="4E69BAE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9.2进水口公称通径为100mm的消火栓上的吸水管接口螺纹为M125X6。</w:t>
            </w:r>
          </w:p>
          <w:p w14:paraId="1048A09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9.3消火栓接口的性能应符合GB12514.1的规定。</w:t>
            </w:r>
          </w:p>
          <w:p w14:paraId="3690C4E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（十）标志</w:t>
            </w:r>
          </w:p>
          <w:p w14:paraId="799E5D5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在消火栓栓体上清晰地铸出型号规格、商标等永久性标志。</w:t>
            </w:r>
          </w:p>
          <w:p w14:paraId="0AF54A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（十一）包装</w:t>
            </w:r>
          </w:p>
          <w:p w14:paraId="3E9952DC">
            <w:pPr>
              <w:pStyle w:val="8"/>
              <w:keepNext w:val="0"/>
              <w:keepLines w:val="0"/>
              <w:pageBreakBefore w:val="0"/>
              <w:widowControl w:val="0"/>
              <w:kinsoku/>
              <w:wordWrap/>
              <w:overflowPunct/>
              <w:topLinePunct w:val="0"/>
              <w:autoSpaceDE/>
              <w:autoSpaceDN/>
              <w:bidi w:val="0"/>
              <w:spacing w:after="0"/>
              <w:ind w:firstLine="0" w:firstLineChars="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产品检验合格后，清除试验时留在产品内部的剩水和表面油污脏物，在非油漆表面涂应防锈油。产品的外罩包装袋上应有下列内容：产品名称、规格型号、出厂编号、重量（净重和毛重）、注册商标、制造日期。内附有产品使用说明书、装箱单和产品合格证。</w:t>
            </w:r>
          </w:p>
          <w:p w14:paraId="05BC0662">
            <w:pPr>
              <w:numPr>
                <w:ilvl w:val="0"/>
                <w:numId w:val="1"/>
              </w:numPr>
              <w:rPr>
                <w:rFonts w:hint="eastAsia" w:asciiTheme="minorEastAsia" w:hAnsi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需永久性的无偿为采购方提供智能消火栓云监控平台软件的使用，实时查看消火栓报警信息、定位等参数。</w:t>
            </w:r>
          </w:p>
          <w:p w14:paraId="4C6961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kern w:val="0"/>
                <w:sz w:val="24"/>
                <w:szCs w:val="24"/>
                <w:highlight w:val="yellow"/>
                <w:lang w:val="en-US" w:eastAsia="zh-CN" w:bidi="ar-SA"/>
              </w:rPr>
            </w:pPr>
            <w:r>
              <w:rPr>
                <w:rFonts w:hint="eastAsia" w:asciiTheme="minorEastAsia" w:hAnsiTheme="minorEastAsia" w:eastAsiaTheme="minorEastAsia" w:cstheme="minorEastAsia"/>
                <w:b/>
                <w:bCs/>
                <w:color w:val="000000"/>
                <w:kern w:val="0"/>
                <w:sz w:val="24"/>
                <w:szCs w:val="24"/>
                <w:highlight w:val="yellow"/>
                <w:lang w:val="en-US" w:eastAsia="zh-CN" w:bidi="ar-SA"/>
              </w:rPr>
              <w:t>三、智能消火栓材料标准及要求</w:t>
            </w:r>
          </w:p>
          <w:p w14:paraId="1C0028E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本体为普通地上式消火栓。除满足普通型地上式消火栓技术要求外，还需满足以下技术要求：</w:t>
            </w:r>
          </w:p>
          <w:p w14:paraId="4772A4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①结构部分要求</w:t>
            </w:r>
          </w:p>
          <w:p w14:paraId="20FB25E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1.智能部件（通信模块、控制模块、电池组等）应内置于消火栓顶部的帽盖中，帽盖外壳应采用一体式压铸金属合金材质或铸铁材料。（须在投标文件中提供承诺选用材质，并中标后须提供样品核验）</w:t>
            </w:r>
          </w:p>
          <w:p w14:paraId="690DC1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2.智能消火栓帽盖采用分仓式设计，智能控制部件与电池仓相互独立，可方便后期维修和单独更换电池。（须在投标文件中提供承诺，并中标后须提供样品核验）</w:t>
            </w:r>
          </w:p>
          <w:p w14:paraId="406B938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②智能测控要求</w:t>
            </w:r>
          </w:p>
          <w:p w14:paraId="01C3E7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 xml:space="preserve">消防栓应具有定位功能、远程实时监控管道水压功能；压力不足或超压报警功能、防盗报警功能、防非法取水报警功能、实施检测电池电压功能、电池自供电功能；在线监测系统可在手机和平台电脑同步展现；可提供开放式的数据共享 API 接口； </w:t>
            </w:r>
          </w:p>
          <w:p w14:paraId="666DAA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北斗卫星定位功能：智能消火栓内置国产自主北斗(BD)定位模块。用于对设备进行定位导航。智能消火栓激活上线后自动获取位置并上报。室外空旷处定位误差不超过20米；</w:t>
            </w:r>
          </w:p>
          <w:p w14:paraId="3CC0334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用水监测功能：当开启智能消火栓阀门取水时，智能消火栓能上报出水报警。</w:t>
            </w:r>
          </w:p>
          <w:p w14:paraId="58EDE5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状态上报功能：智能消火栓在正常情况下能按照设定的周期上报状态监测值，状态监测值数据包括信号强度值、电池电压值、水压值等。</w:t>
            </w:r>
          </w:p>
          <w:p w14:paraId="6E304BD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③环境适应性要求</w:t>
            </w:r>
          </w:p>
          <w:p w14:paraId="7671BE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工作温度：范围应满足-20~70℃。</w:t>
            </w:r>
          </w:p>
          <w:p w14:paraId="613B24D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④其他要求</w:t>
            </w:r>
          </w:p>
          <w:p w14:paraId="5AB37A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default" w:asciiTheme="minorEastAsia" w:hAnsiTheme="minorEastAsia" w:eastAsiaTheme="minorEastAsia" w:cstheme="minorEastAsia"/>
                <w:b/>
                <w:bCs/>
                <w:color w:val="000000"/>
                <w:kern w:val="0"/>
                <w:sz w:val="24"/>
                <w:szCs w:val="24"/>
                <w:highlight w:val="none"/>
                <w:lang w:val="en-US" w:eastAsia="zh-CN" w:bidi="ar-SA"/>
              </w:rPr>
              <w:t>1．</w:t>
            </w:r>
            <w:r>
              <w:rPr>
                <w:rFonts w:hint="eastAsia" w:asciiTheme="minorEastAsia" w:hAnsiTheme="minorEastAsia" w:eastAsiaTheme="minorEastAsia" w:cstheme="minorEastAsia"/>
                <w:b/>
                <w:bCs/>
                <w:color w:val="000000"/>
                <w:kern w:val="0"/>
                <w:sz w:val="24"/>
                <w:szCs w:val="24"/>
                <w:highlight w:val="none"/>
                <w:lang w:val="en-US" w:eastAsia="zh-CN" w:bidi="ar-SA"/>
              </w:rPr>
              <w:t>工作方式：报警实时上报，数据周期定时上报（默认12小时，支持可配）。</w:t>
            </w:r>
          </w:p>
          <w:p w14:paraId="39DD27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default" w:asciiTheme="minorEastAsia" w:hAnsiTheme="minorEastAsia" w:eastAsiaTheme="minorEastAsia" w:cstheme="minorEastAsia"/>
                <w:b/>
                <w:bCs/>
                <w:color w:val="000000"/>
                <w:kern w:val="0"/>
                <w:sz w:val="24"/>
                <w:szCs w:val="24"/>
                <w:highlight w:val="none"/>
                <w:lang w:val="en-US" w:eastAsia="zh-CN" w:bidi="ar-SA"/>
              </w:rPr>
              <w:t>2．</w:t>
            </w:r>
            <w:r>
              <w:rPr>
                <w:rFonts w:hint="eastAsia" w:asciiTheme="minorEastAsia" w:hAnsiTheme="minorEastAsia" w:eastAsiaTheme="minorEastAsia" w:cstheme="minorEastAsia"/>
                <w:b/>
                <w:bCs/>
                <w:color w:val="000000"/>
                <w:kern w:val="0"/>
                <w:sz w:val="24"/>
                <w:szCs w:val="24"/>
                <w:highlight w:val="none"/>
                <w:lang w:val="en-US" w:eastAsia="zh-CN" w:bidi="ar-SA"/>
              </w:rPr>
              <w:t>通信方式：NB-IoT无线远传通信，含3年流量资费。</w:t>
            </w:r>
          </w:p>
          <w:p w14:paraId="20C3DC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default" w:asciiTheme="minorEastAsia" w:hAnsiTheme="minorEastAsia" w:eastAsiaTheme="minorEastAsia" w:cstheme="minorEastAsia"/>
                <w:b/>
                <w:bCs/>
                <w:color w:val="000000"/>
                <w:kern w:val="0"/>
                <w:sz w:val="24"/>
                <w:szCs w:val="24"/>
                <w:highlight w:val="none"/>
                <w:lang w:val="en-US" w:eastAsia="zh-CN" w:bidi="ar-SA"/>
              </w:rPr>
              <w:t>3．</w:t>
            </w:r>
            <w:r>
              <w:rPr>
                <w:rFonts w:hint="eastAsia" w:asciiTheme="minorEastAsia" w:hAnsiTheme="minorEastAsia" w:eastAsiaTheme="minorEastAsia" w:cstheme="minorEastAsia"/>
                <w:b/>
                <w:bCs/>
                <w:color w:val="000000"/>
                <w:kern w:val="0"/>
                <w:sz w:val="24"/>
                <w:szCs w:val="24"/>
                <w:highlight w:val="none"/>
                <w:lang w:val="en-US" w:eastAsia="zh-CN" w:bidi="ar-SA"/>
              </w:rPr>
              <w:t>供电方式：三年电池质保期，默认配置正常使用3年以上，要求为符合国家标准的市场通用锂电池。</w:t>
            </w:r>
          </w:p>
          <w:p w14:paraId="7C73E3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jc w:val="left"/>
              <w:textAlignment w:val="auto"/>
              <w:rPr>
                <w:rFonts w:hint="default"/>
                <w:lang w:val="en-US" w:eastAsia="zh-CN"/>
              </w:rPr>
            </w:pPr>
            <w:r>
              <w:rPr>
                <w:rFonts w:hint="default" w:asciiTheme="minorEastAsia" w:hAnsiTheme="minorEastAsia" w:eastAsiaTheme="minorEastAsia" w:cstheme="minorEastAsia"/>
                <w:b/>
                <w:bCs/>
                <w:color w:val="000000"/>
                <w:kern w:val="0"/>
                <w:sz w:val="24"/>
                <w:szCs w:val="24"/>
                <w:highlight w:val="none"/>
                <w:lang w:val="en-US" w:eastAsia="zh-CN" w:bidi="ar-SA"/>
              </w:rPr>
              <w:t>4</w:t>
            </w:r>
            <w:r>
              <w:rPr>
                <w:rFonts w:hint="eastAsia" w:asciiTheme="minorEastAsia" w:hAnsiTheme="minorEastAsia" w:eastAsiaTheme="minorEastAsia" w:cstheme="minorEastAsia"/>
                <w:b/>
                <w:bCs/>
                <w:color w:val="000000"/>
                <w:kern w:val="0"/>
                <w:sz w:val="24"/>
                <w:szCs w:val="24"/>
                <w:highlight w:val="none"/>
                <w:lang w:val="en-US" w:eastAsia="zh-CN" w:bidi="ar-SA"/>
              </w:rPr>
              <w:t>.压力指标：量程0-1.6MPa,0.5%FS</w:t>
            </w:r>
          </w:p>
        </w:tc>
      </w:tr>
    </w:tbl>
    <w:p w14:paraId="1EC5C058">
      <w:pPr>
        <w:rPr>
          <w:rFonts w:hint="default"/>
          <w:lang w:val="en-US" w:eastAsia="zh-CN"/>
        </w:rPr>
      </w:pPr>
    </w:p>
    <w:tbl>
      <w:tblPr>
        <w:tblStyle w:val="18"/>
        <w:tblW w:w="5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8"/>
        <w:gridCol w:w="2569"/>
      </w:tblGrid>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648"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2569"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2648"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2569"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648"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69"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48"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2569"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8"/>
        <w:rPr>
          <w:rFonts w:hint="default"/>
          <w:lang w:val="en-US" w:eastAsia="zh-CN"/>
        </w:rPr>
      </w:pPr>
    </w:p>
    <w:sectPr>
      <w:footerReference r:id="rId3" w:type="default"/>
      <w:pgSz w:w="11906" w:h="16838"/>
      <w:pgMar w:top="1100" w:right="969" w:bottom="1100" w:left="96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4D950"/>
    <w:multiLevelType w:val="singleLevel"/>
    <w:tmpl w:val="F3F4D950"/>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llN2JhZTU3OGJlMDhhMjQ1ZmQ5YWEzOWNjNTY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2027AF"/>
    <w:rsid w:val="03EC63FF"/>
    <w:rsid w:val="04167BE0"/>
    <w:rsid w:val="046164DB"/>
    <w:rsid w:val="04FE1868"/>
    <w:rsid w:val="055210FB"/>
    <w:rsid w:val="060F014D"/>
    <w:rsid w:val="06C9698C"/>
    <w:rsid w:val="06DE411B"/>
    <w:rsid w:val="081F710D"/>
    <w:rsid w:val="08767CBA"/>
    <w:rsid w:val="09CE1802"/>
    <w:rsid w:val="0ADA1283"/>
    <w:rsid w:val="0B52561D"/>
    <w:rsid w:val="0B837613"/>
    <w:rsid w:val="0C807FF6"/>
    <w:rsid w:val="0D18108F"/>
    <w:rsid w:val="0D9A7247"/>
    <w:rsid w:val="0EE36B7D"/>
    <w:rsid w:val="0F0243F5"/>
    <w:rsid w:val="108154AD"/>
    <w:rsid w:val="12EA747F"/>
    <w:rsid w:val="13121E77"/>
    <w:rsid w:val="13455F77"/>
    <w:rsid w:val="15B72A35"/>
    <w:rsid w:val="15C50828"/>
    <w:rsid w:val="1825554C"/>
    <w:rsid w:val="1B932687"/>
    <w:rsid w:val="1BCA6B98"/>
    <w:rsid w:val="1CAC06B2"/>
    <w:rsid w:val="1CD707B6"/>
    <w:rsid w:val="1E8B21FB"/>
    <w:rsid w:val="221847B8"/>
    <w:rsid w:val="2262713B"/>
    <w:rsid w:val="228D26CE"/>
    <w:rsid w:val="22CA2753"/>
    <w:rsid w:val="23F76998"/>
    <w:rsid w:val="240E2A35"/>
    <w:rsid w:val="24BA1822"/>
    <w:rsid w:val="251A293E"/>
    <w:rsid w:val="26213CE2"/>
    <w:rsid w:val="26766DE2"/>
    <w:rsid w:val="270B5BBD"/>
    <w:rsid w:val="27B57E67"/>
    <w:rsid w:val="28052CB0"/>
    <w:rsid w:val="28121039"/>
    <w:rsid w:val="2940272E"/>
    <w:rsid w:val="2B54029B"/>
    <w:rsid w:val="2C93318E"/>
    <w:rsid w:val="2CEF3FB8"/>
    <w:rsid w:val="2ED5212C"/>
    <w:rsid w:val="30552FD2"/>
    <w:rsid w:val="30C90D87"/>
    <w:rsid w:val="30F33128"/>
    <w:rsid w:val="322A22B1"/>
    <w:rsid w:val="346F60D7"/>
    <w:rsid w:val="34F30AB6"/>
    <w:rsid w:val="36F07953"/>
    <w:rsid w:val="3810197F"/>
    <w:rsid w:val="384D2977"/>
    <w:rsid w:val="3885236D"/>
    <w:rsid w:val="391E3890"/>
    <w:rsid w:val="3AF066C3"/>
    <w:rsid w:val="3BEA51F5"/>
    <w:rsid w:val="3C0733A8"/>
    <w:rsid w:val="3C6A6406"/>
    <w:rsid w:val="3C732068"/>
    <w:rsid w:val="3D055324"/>
    <w:rsid w:val="3D2C0ADF"/>
    <w:rsid w:val="3D8C136E"/>
    <w:rsid w:val="3DBF3C2B"/>
    <w:rsid w:val="3E1E176E"/>
    <w:rsid w:val="3E202F15"/>
    <w:rsid w:val="3E9078C4"/>
    <w:rsid w:val="3FD55619"/>
    <w:rsid w:val="404B6C28"/>
    <w:rsid w:val="406F68CD"/>
    <w:rsid w:val="420951A2"/>
    <w:rsid w:val="424A7A77"/>
    <w:rsid w:val="42875CFB"/>
    <w:rsid w:val="42C92294"/>
    <w:rsid w:val="43132246"/>
    <w:rsid w:val="45FA78C3"/>
    <w:rsid w:val="47675677"/>
    <w:rsid w:val="48F53072"/>
    <w:rsid w:val="490A475E"/>
    <w:rsid w:val="494621F7"/>
    <w:rsid w:val="4C7F348C"/>
    <w:rsid w:val="4CA44F5B"/>
    <w:rsid w:val="4F0E7C38"/>
    <w:rsid w:val="4F25246D"/>
    <w:rsid w:val="4F841D93"/>
    <w:rsid w:val="50D94BB2"/>
    <w:rsid w:val="50EA7F43"/>
    <w:rsid w:val="50F06B23"/>
    <w:rsid w:val="513973A6"/>
    <w:rsid w:val="51ED6A4B"/>
    <w:rsid w:val="52304CA0"/>
    <w:rsid w:val="52E2260F"/>
    <w:rsid w:val="54A13C33"/>
    <w:rsid w:val="54F36E09"/>
    <w:rsid w:val="558820D0"/>
    <w:rsid w:val="57327246"/>
    <w:rsid w:val="57346FE0"/>
    <w:rsid w:val="57F83763"/>
    <w:rsid w:val="59DB49CF"/>
    <w:rsid w:val="5A3B2D3C"/>
    <w:rsid w:val="5A683FFF"/>
    <w:rsid w:val="5AA769EB"/>
    <w:rsid w:val="5C664E8E"/>
    <w:rsid w:val="5DBF29C4"/>
    <w:rsid w:val="5F5E0F4F"/>
    <w:rsid w:val="5FA126CC"/>
    <w:rsid w:val="62D85246"/>
    <w:rsid w:val="631F5A7F"/>
    <w:rsid w:val="633D4137"/>
    <w:rsid w:val="63860660"/>
    <w:rsid w:val="662752EF"/>
    <w:rsid w:val="66DD5F97"/>
    <w:rsid w:val="68BA0755"/>
    <w:rsid w:val="68E65C61"/>
    <w:rsid w:val="693F2885"/>
    <w:rsid w:val="695F145C"/>
    <w:rsid w:val="6B342BA7"/>
    <w:rsid w:val="6CF54EC6"/>
    <w:rsid w:val="6D983C19"/>
    <w:rsid w:val="6E8A42E2"/>
    <w:rsid w:val="6F8F0EBD"/>
    <w:rsid w:val="6FB438A3"/>
    <w:rsid w:val="701F75C9"/>
    <w:rsid w:val="703F45D4"/>
    <w:rsid w:val="708F5A33"/>
    <w:rsid w:val="71072C9F"/>
    <w:rsid w:val="71B341DA"/>
    <w:rsid w:val="724D47CD"/>
    <w:rsid w:val="72FA1C36"/>
    <w:rsid w:val="736E263D"/>
    <w:rsid w:val="73F3271F"/>
    <w:rsid w:val="755D5634"/>
    <w:rsid w:val="7610256F"/>
    <w:rsid w:val="7638442C"/>
    <w:rsid w:val="78937BBC"/>
    <w:rsid w:val="79852FF6"/>
    <w:rsid w:val="7ACC2155"/>
    <w:rsid w:val="7C156B31"/>
    <w:rsid w:val="7C2A19BC"/>
    <w:rsid w:val="7C5E095D"/>
    <w:rsid w:val="7CB80EEC"/>
    <w:rsid w:val="7D105E6B"/>
    <w:rsid w:val="7D1C36F2"/>
    <w:rsid w:val="7DD66E82"/>
    <w:rsid w:val="7ED945E4"/>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able of figures"/>
    <w:basedOn w:val="1"/>
    <w:next w:val="1"/>
    <w:unhideWhenUsed/>
    <w:qFormat/>
    <w:uiPriority w:val="99"/>
    <w:pPr>
      <w:ind w:left="200" w:leftChars="200" w:hanging="200" w:hangingChars="200"/>
    </w:pPr>
    <w:rPr>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8"/>
    <w:next w:val="17"/>
    <w:autoRedefine/>
    <w:unhideWhenUsed/>
    <w:qFormat/>
    <w:uiPriority w:val="99"/>
    <w:pPr>
      <w:ind w:firstLine="420" w:firstLineChars="100"/>
    </w:pPr>
  </w:style>
  <w:style w:type="paragraph" w:styleId="17">
    <w:name w:val="Body Text First Indent 2"/>
    <w:basedOn w:val="9"/>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2"/>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6"/>
    <w:autoRedefine/>
    <w:qFormat/>
    <w:uiPriority w:val="9"/>
    <w:rPr>
      <w:b/>
      <w:bCs/>
      <w:sz w:val="28"/>
      <w:szCs w:val="28"/>
    </w:rPr>
  </w:style>
  <w:style w:type="character" w:customStyle="1" w:styleId="27">
    <w:name w:val="标题 6 Char"/>
    <w:basedOn w:val="20"/>
    <w:link w:val="7"/>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8"/>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 w:type="paragraph" w:customStyle="1" w:styleId="3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3540</Words>
  <Characters>3953</Characters>
  <Lines>39</Lines>
  <Paragraphs>10</Paragraphs>
  <TotalTime>0</TotalTime>
  <ScaleCrop>false</ScaleCrop>
  <LinksUpToDate>false</LinksUpToDate>
  <CharactersWithSpaces>4126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2025-03-27T01:57:00Z</cp:lastPrinted>
  <dcterms:modified xsi:type="dcterms:W3CDTF">2025-04-28T08:53:50Z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B1535845164A43218014BE8C5FF9AE21_13</vt:lpwstr>
  </property>
  <property fmtid="{D5CDD505-2E9C-101B-9397-08002B2CF9AE}" pid="4" name="KSOTemplateDocerSaveRecord">
    <vt:lpwstr>eyJoZGlkIjoiNzFhZjk3MWU2ODZjMTU1ZDU0MWFlZmQyMTYwNjE5ZjIiLCJ1c2VySWQiOiIyMzk3ODg1OTIifQ==</vt:lpwstr>
  </property>
</Properties>
</file>