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b/>
          <w:spacing w:val="-6"/>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启东市吕四自来水厂有限公司倒流防止器2025-2026年度采购项目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r>
        <w:rPr>
          <w:rFonts w:hint="eastAsia" w:asciiTheme="minorEastAsia" w:hAnsiTheme="minorEastAsia"/>
          <w:b/>
          <w:spacing w:val="0"/>
          <w:sz w:val="32"/>
          <w:szCs w:val="32"/>
          <w:lang w:val="en-US" w:eastAsia="zh-CN"/>
        </w:rPr>
        <w:t>（第二次市场询价）</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启东市吕四自来水厂有限公司倒流防止器2025-2026年度采购项目即将实施，现就该项目进行市场询价调研。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启东市吕四自来水厂有限公司倒流防止器2025-2026年度采购项目采购清单</w:t>
      </w:r>
      <w:r>
        <w:rPr>
          <w:rFonts w:hint="eastAsia" w:ascii="宋体" w:hAnsi="宋体" w:eastAsia="宋体" w:cs="宋体"/>
          <w:sz w:val="24"/>
          <w:szCs w:val="24"/>
          <w:lang w:val="en-US" w:eastAsia="zh-CN"/>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default"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rPr>
        <w:t>参与报价的单位需将</w:t>
      </w:r>
      <w:r>
        <w:rPr>
          <w:rStyle w:val="28"/>
          <w:rFonts w:hint="eastAsia" w:ascii="宋体" w:hAnsi="宋体" w:eastAsia="宋体" w:cs="宋体"/>
          <w:kern w:val="0"/>
          <w:sz w:val="24"/>
          <w:szCs w:val="24"/>
          <w:highlight w:val="none"/>
          <w:lang w:val="en-US" w:eastAsia="zh-CN"/>
        </w:rPr>
        <w:t>有效的</w:t>
      </w:r>
      <w:r>
        <w:rPr>
          <w:rStyle w:val="28"/>
          <w:rFonts w:hint="eastAsia" w:ascii="宋体" w:hAnsi="宋体" w:eastAsia="宋体" w:cs="宋体"/>
          <w:kern w:val="0"/>
          <w:sz w:val="24"/>
          <w:szCs w:val="24"/>
          <w:highlight w:val="none"/>
        </w:rPr>
        <w:t>营业执照复印件和市场询价</w:t>
      </w:r>
      <w:r>
        <w:rPr>
          <w:rStyle w:val="28"/>
          <w:rFonts w:hint="eastAsia" w:ascii="宋体" w:hAnsi="宋体" w:eastAsia="宋体" w:cs="宋体"/>
          <w:kern w:val="0"/>
          <w:sz w:val="24"/>
          <w:szCs w:val="24"/>
          <w:highlight w:val="none"/>
          <w:lang w:val="en-US" w:eastAsia="zh-CN"/>
        </w:rPr>
        <w:t>报价单（含汇总表及分项报价表）及</w:t>
      </w:r>
      <w:r>
        <w:rPr>
          <w:rStyle w:val="28"/>
          <w:rFonts w:hint="eastAsia" w:ascii="宋体" w:hAnsi="宋体" w:eastAsia="宋体" w:cs="宋体"/>
          <w:b/>
          <w:bCs/>
          <w:kern w:val="0"/>
          <w:sz w:val="24"/>
          <w:szCs w:val="24"/>
          <w:highlight w:val="none"/>
          <w:lang w:val="en-US" w:eastAsia="zh-CN"/>
        </w:rPr>
        <w:t>自2022年以来的供水企业业绩证明</w:t>
      </w:r>
      <w:r>
        <w:rPr>
          <w:rStyle w:val="28"/>
          <w:rFonts w:hint="eastAsia" w:ascii="宋体" w:hAnsi="宋体" w:eastAsia="宋体" w:cs="宋体"/>
          <w:kern w:val="0"/>
          <w:sz w:val="24"/>
          <w:szCs w:val="24"/>
          <w:highlight w:val="none"/>
          <w:lang w:val="en-US" w:eastAsia="zh-CN"/>
        </w:rPr>
        <w:t>（相对应的合同、发票扫描件）加盖公章</w:t>
      </w:r>
      <w:r>
        <w:rPr>
          <w:rStyle w:val="28"/>
          <w:rFonts w:hint="eastAsia" w:ascii="宋体" w:hAnsi="宋体" w:eastAsia="宋体" w:cs="宋体"/>
          <w:kern w:val="0"/>
          <w:sz w:val="24"/>
          <w:szCs w:val="24"/>
          <w:highlight w:val="none"/>
        </w:rPr>
        <w:t>于</w:t>
      </w:r>
      <w:r>
        <w:rPr>
          <w:rStyle w:val="28"/>
          <w:rFonts w:hint="eastAsia" w:ascii="宋体" w:hAnsi="宋体" w:eastAsia="宋体" w:cs="宋体"/>
          <w:b/>
          <w:bCs/>
          <w:kern w:val="0"/>
          <w:sz w:val="24"/>
          <w:szCs w:val="24"/>
          <w:highlight w:val="none"/>
        </w:rPr>
        <w:t>202</w:t>
      </w:r>
      <w:r>
        <w:rPr>
          <w:rStyle w:val="28"/>
          <w:rFonts w:hint="eastAsia" w:ascii="宋体" w:hAnsi="宋体" w:eastAsia="宋体" w:cs="宋体"/>
          <w:b/>
          <w:bCs/>
          <w:kern w:val="0"/>
          <w:sz w:val="24"/>
          <w:szCs w:val="24"/>
          <w:highlight w:val="none"/>
          <w:lang w:val="en-US" w:eastAsia="zh-CN"/>
        </w:rPr>
        <w:t>5</w:t>
      </w:r>
      <w:r>
        <w:rPr>
          <w:rStyle w:val="28"/>
          <w:rFonts w:hint="eastAsia" w:ascii="宋体" w:hAnsi="宋体" w:eastAsia="宋体" w:cs="宋体"/>
          <w:b/>
          <w:bCs/>
          <w:kern w:val="0"/>
          <w:sz w:val="24"/>
          <w:szCs w:val="24"/>
          <w:highlight w:val="none"/>
        </w:rPr>
        <w:t>年</w:t>
      </w:r>
      <w:r>
        <w:rPr>
          <w:rStyle w:val="28"/>
          <w:rFonts w:hint="eastAsia" w:ascii="宋体" w:hAnsi="宋体" w:eastAsia="宋体" w:cs="宋体"/>
          <w:b/>
          <w:bCs/>
          <w:kern w:val="0"/>
          <w:sz w:val="24"/>
          <w:szCs w:val="24"/>
          <w:highlight w:val="none"/>
          <w:lang w:val="en-US" w:eastAsia="zh-CN"/>
        </w:rPr>
        <w:t>4</w:t>
      </w:r>
      <w:r>
        <w:rPr>
          <w:rStyle w:val="28"/>
          <w:rFonts w:hint="eastAsia" w:ascii="宋体" w:hAnsi="宋体" w:eastAsia="宋体" w:cs="宋体"/>
          <w:b/>
          <w:bCs/>
          <w:kern w:val="0"/>
          <w:sz w:val="24"/>
          <w:szCs w:val="24"/>
          <w:highlight w:val="none"/>
        </w:rPr>
        <w:t>月</w:t>
      </w:r>
      <w:r>
        <w:rPr>
          <w:rStyle w:val="28"/>
          <w:rFonts w:hint="eastAsia" w:ascii="宋体" w:hAnsi="宋体" w:eastAsia="宋体" w:cs="宋体"/>
          <w:b/>
          <w:bCs/>
          <w:kern w:val="0"/>
          <w:sz w:val="24"/>
          <w:szCs w:val="24"/>
          <w:highlight w:val="none"/>
          <w:lang w:val="en-US" w:eastAsia="zh-CN"/>
        </w:rPr>
        <w:t>17</w:t>
      </w:r>
      <w:r>
        <w:rPr>
          <w:rStyle w:val="28"/>
          <w:rFonts w:hint="eastAsia" w:ascii="宋体" w:hAnsi="宋体" w:eastAsia="宋体" w:cs="宋体"/>
          <w:b/>
          <w:bCs/>
          <w:kern w:val="0"/>
          <w:sz w:val="24"/>
          <w:szCs w:val="24"/>
          <w:highlight w:val="none"/>
        </w:rPr>
        <w:t>日17:00前</w:t>
      </w:r>
      <w:r>
        <w:rPr>
          <w:rStyle w:val="28"/>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宋黄坤，</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15151371551</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val="en-US" w:eastAsia="zh-CN"/>
        </w:rPr>
        <w:t>4</w:t>
      </w:r>
      <w:r>
        <w:rPr>
          <w:rStyle w:val="28"/>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1</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2</w:t>
      </w:r>
      <w:r>
        <w:rPr>
          <w:rStyle w:val="28"/>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3</w:t>
      </w:r>
      <w:r>
        <w:rPr>
          <w:rStyle w:val="28"/>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8"/>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5</w:t>
      </w:r>
      <w:r>
        <w:rPr>
          <w:rStyle w:val="28"/>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6</w:t>
      </w:r>
      <w:r>
        <w:rPr>
          <w:rStyle w:val="28"/>
          <w:rFonts w:hint="eastAsia" w:ascii="宋体" w:hAnsi="宋体" w:eastAsia="宋体" w:cs="宋体"/>
          <w:kern w:val="0"/>
          <w:sz w:val="24"/>
          <w:szCs w:val="24"/>
          <w:highlight w:val="none"/>
        </w:rPr>
        <w:t>.拟定支付方式及期限：银行转账，按</w:t>
      </w:r>
      <w:r>
        <w:rPr>
          <w:rStyle w:val="28"/>
          <w:rFonts w:hint="eastAsia" w:ascii="宋体" w:hAnsi="宋体" w:eastAsia="宋体" w:cs="宋体"/>
          <w:kern w:val="0"/>
          <w:sz w:val="24"/>
          <w:szCs w:val="24"/>
          <w:highlight w:val="none"/>
          <w:lang w:eastAsia="zh-CN"/>
        </w:rPr>
        <w:t>启东市吕四自来水</w:t>
      </w:r>
      <w:r>
        <w:rPr>
          <w:rStyle w:val="28"/>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8"/>
          <w:rFonts w:hint="eastAsia" w:ascii="宋体" w:hAnsi="宋体" w:eastAsia="宋体" w:cs="宋体"/>
          <w:kern w:val="0"/>
          <w:sz w:val="24"/>
          <w:szCs w:val="24"/>
          <w:highlight w:val="none"/>
          <w:lang w:val="en-US" w:eastAsia="zh-CN"/>
        </w:rPr>
        <w:t>8</w:t>
      </w:r>
      <w:r>
        <w:rPr>
          <w:rStyle w:val="28"/>
          <w:rFonts w:hint="eastAsia" w:ascii="宋体" w:hAnsi="宋体" w:eastAsia="宋体" w:cs="宋体"/>
          <w:kern w:val="0"/>
          <w:sz w:val="24"/>
          <w:szCs w:val="24"/>
          <w:highlight w:val="none"/>
        </w:rPr>
        <w:t>0%货款，合同期内所供货物的余款于</w:t>
      </w:r>
      <w:r>
        <w:rPr>
          <w:rStyle w:val="28"/>
          <w:rFonts w:hint="eastAsia" w:ascii="宋体" w:hAnsi="宋体" w:eastAsia="宋体" w:cs="宋体"/>
          <w:kern w:val="0"/>
          <w:sz w:val="24"/>
          <w:szCs w:val="24"/>
          <w:highlight w:val="none"/>
          <w:lang w:val="en-US" w:eastAsia="zh-CN"/>
        </w:rPr>
        <w:t>质保期</w:t>
      </w:r>
      <w:r>
        <w:rPr>
          <w:rStyle w:val="28"/>
          <w:rFonts w:hint="eastAsia" w:ascii="宋体" w:hAnsi="宋体" w:eastAsia="宋体" w:cs="宋体"/>
          <w:kern w:val="0"/>
          <w:sz w:val="24"/>
          <w:szCs w:val="24"/>
          <w:highlight w:val="none"/>
        </w:rPr>
        <w:t>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8"/>
          <w:rFonts w:hint="eastAsia" w:ascii="宋体" w:hAnsi="宋体" w:eastAsia="宋体" w:cs="宋体"/>
          <w:kern w:val="0"/>
          <w:sz w:val="24"/>
          <w:szCs w:val="24"/>
          <w:highlight w:val="none"/>
          <w:lang w:val="en-US" w:eastAsia="zh-CN"/>
        </w:rPr>
        <w:t>7</w:t>
      </w:r>
      <w:r>
        <w:rPr>
          <w:rStyle w:val="28"/>
          <w:rFonts w:hint="eastAsia" w:ascii="宋体" w:hAnsi="宋体" w:eastAsia="宋体" w:cs="宋体"/>
          <w:kern w:val="0"/>
          <w:sz w:val="24"/>
          <w:szCs w:val="24"/>
          <w:highlight w:val="none"/>
        </w:rPr>
        <w:t>.其他：</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1</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请报价单位认真核算、如实报价，如发现虚假报价的，该单位今后将</w:t>
      </w:r>
      <w:r>
        <w:rPr>
          <w:rStyle w:val="28"/>
          <w:rFonts w:hint="eastAsia" w:ascii="宋体" w:hAnsi="宋体" w:eastAsia="宋体" w:cs="宋体"/>
          <w:kern w:val="0"/>
          <w:sz w:val="24"/>
          <w:szCs w:val="24"/>
          <w:highlight w:val="none"/>
          <w:lang w:val="en-US" w:eastAsia="zh-CN"/>
        </w:rPr>
        <w:t>记入</w:t>
      </w:r>
      <w:r>
        <w:rPr>
          <w:rStyle w:val="28"/>
          <w:rFonts w:hint="eastAsia" w:ascii="宋体" w:hAnsi="宋体" w:eastAsia="宋体" w:cs="宋体"/>
          <w:kern w:val="0"/>
          <w:sz w:val="24"/>
          <w:szCs w:val="24"/>
          <w:highlight w:val="none"/>
        </w:rPr>
        <w:t>采购</w:t>
      </w:r>
      <w:r>
        <w:rPr>
          <w:rStyle w:val="28"/>
          <w:rFonts w:hint="eastAsia" w:ascii="宋体" w:hAnsi="宋体" w:eastAsia="宋体" w:cs="宋体"/>
          <w:kern w:val="0"/>
          <w:sz w:val="24"/>
          <w:szCs w:val="24"/>
          <w:highlight w:val="none"/>
          <w:lang w:val="en-US" w:eastAsia="zh-CN"/>
        </w:rPr>
        <w:t>人招标市场的黑名单</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本次报价仅作为市场调研用，因此价格仅供参考；</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8"/>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eastAsia" w:ascii="宋体" w:hAnsi="宋体" w:eastAsia="宋体" w:cs="宋体"/>
          <w:kern w:val="0"/>
          <w:sz w:val="24"/>
          <w:szCs w:val="24"/>
          <w:highlight w:val="none"/>
          <w:lang w:val="en-US" w:eastAsia="zh-CN" w:bidi="ar-SA"/>
        </w:rPr>
      </w:pPr>
      <w:r>
        <w:rPr>
          <w:rStyle w:val="28"/>
          <w:rFonts w:hint="eastAsia" w:ascii="宋体" w:hAnsi="宋体" w:eastAsia="宋体" w:cs="宋体"/>
          <w:kern w:val="0"/>
          <w:sz w:val="24"/>
          <w:szCs w:val="24"/>
          <w:highlight w:val="none"/>
          <w:lang w:val="en-US" w:eastAsia="zh-CN" w:bidi="ar-SA"/>
        </w:rPr>
        <w:t>2025年4月14日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62005667">
      <w:pPr>
        <w:rPr>
          <w:rFonts w:hint="default" w:ascii="宋体" w:hAnsi="宋体" w:eastAsia="宋体" w:cs="宋体"/>
          <w:b/>
          <w:color w:val="auto"/>
          <w:kern w:val="0"/>
          <w:sz w:val="28"/>
          <w:szCs w:val="28"/>
          <w:highlight w:val="none"/>
          <w:lang w:val="en-US" w:eastAsia="zh-CN"/>
        </w:rPr>
      </w:pPr>
    </w:p>
    <w:p w14:paraId="092F796F">
      <w:pPr>
        <w:pStyle w:val="2"/>
        <w:rPr>
          <w:rFonts w:hint="default" w:ascii="宋体" w:hAnsi="宋体" w:eastAsia="宋体" w:cs="宋体"/>
          <w:b/>
          <w:color w:val="auto"/>
          <w:kern w:val="0"/>
          <w:sz w:val="28"/>
          <w:szCs w:val="28"/>
          <w:highlight w:val="none"/>
          <w:lang w:val="en-US" w:eastAsia="zh-CN"/>
        </w:rPr>
      </w:pPr>
    </w:p>
    <w:p w14:paraId="0C3396C6">
      <w:pPr>
        <w:rPr>
          <w:rFonts w:hint="default" w:ascii="宋体" w:hAnsi="宋体" w:eastAsia="宋体" w:cs="宋体"/>
          <w:b/>
          <w:color w:val="auto"/>
          <w:kern w:val="0"/>
          <w:sz w:val="28"/>
          <w:szCs w:val="28"/>
          <w:highlight w:val="none"/>
          <w:lang w:val="en-US" w:eastAsia="zh-CN"/>
        </w:rPr>
      </w:pPr>
    </w:p>
    <w:p w14:paraId="259E000B">
      <w:pPr>
        <w:pStyle w:val="2"/>
        <w:rPr>
          <w:rFonts w:hint="default" w:ascii="宋体" w:hAnsi="宋体" w:eastAsia="宋体" w:cs="宋体"/>
          <w:b/>
          <w:color w:val="auto"/>
          <w:kern w:val="0"/>
          <w:sz w:val="28"/>
          <w:szCs w:val="28"/>
          <w:highlight w:val="none"/>
          <w:lang w:val="en-US" w:eastAsia="zh-CN"/>
        </w:rPr>
      </w:pPr>
    </w:p>
    <w:p w14:paraId="438E3F50">
      <w:pPr>
        <w:rPr>
          <w:rFonts w:hint="default" w:ascii="宋体" w:hAnsi="宋体" w:eastAsia="宋体" w:cs="宋体"/>
          <w:b/>
          <w:color w:val="auto"/>
          <w:kern w:val="0"/>
          <w:sz w:val="28"/>
          <w:szCs w:val="28"/>
          <w:highlight w:val="none"/>
          <w:lang w:val="en-US" w:eastAsia="zh-CN"/>
        </w:rPr>
      </w:pPr>
    </w:p>
    <w:p w14:paraId="5E6AE8F9">
      <w:pPr>
        <w:pStyle w:val="2"/>
        <w:rPr>
          <w:rFonts w:hint="eastAsia" w:ascii="宋体" w:hAnsi="宋体" w:cs="宋体"/>
          <w:b/>
          <w:color w:val="auto"/>
          <w:kern w:val="0"/>
          <w:sz w:val="28"/>
          <w:szCs w:val="28"/>
          <w:highlight w:val="none"/>
          <w:lang w:val="en-US" w:eastAsia="zh-CN"/>
        </w:rPr>
      </w:pPr>
    </w:p>
    <w:p w14:paraId="57F66EAB">
      <w:pPr>
        <w:pStyle w:val="2"/>
        <w:rPr>
          <w:rFonts w:hint="eastAsia" w:ascii="宋体" w:hAnsi="宋体" w:cs="宋体"/>
          <w:b/>
          <w:color w:val="auto"/>
          <w:kern w:val="0"/>
          <w:sz w:val="28"/>
          <w:szCs w:val="28"/>
          <w:highlight w:val="none"/>
          <w:lang w:val="en-US" w:eastAsia="zh-CN"/>
        </w:rPr>
      </w:pPr>
    </w:p>
    <w:p w14:paraId="495CB2D1">
      <w:pPr>
        <w:pStyle w:val="2"/>
        <w:rPr>
          <w:rFonts w:hint="eastAsia" w:ascii="宋体" w:hAnsi="宋体" w:cs="宋体"/>
          <w:b/>
          <w:color w:val="auto"/>
          <w:kern w:val="0"/>
          <w:sz w:val="28"/>
          <w:szCs w:val="28"/>
          <w:highlight w:val="none"/>
          <w:lang w:val="en-US" w:eastAsia="zh-CN"/>
        </w:rPr>
      </w:pPr>
    </w:p>
    <w:p w14:paraId="37D7E3CE">
      <w:pPr>
        <w:rPr>
          <w:rFonts w:hint="eastAsia"/>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tbl>
      <w:tblPr>
        <w:tblStyle w:val="17"/>
        <w:tblW w:w="0" w:type="auto"/>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
        <w:gridCol w:w="172"/>
        <w:gridCol w:w="1941"/>
        <w:gridCol w:w="264"/>
        <w:gridCol w:w="224"/>
        <w:gridCol w:w="706"/>
        <w:gridCol w:w="870"/>
        <w:gridCol w:w="825"/>
        <w:gridCol w:w="1605"/>
        <w:gridCol w:w="1696"/>
        <w:gridCol w:w="1566"/>
      </w:tblGrid>
      <w:tr w14:paraId="03BC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192" w:type="dxa"/>
            <w:gridSpan w:val="11"/>
            <w:tcBorders>
              <w:top w:val="nil"/>
              <w:left w:val="nil"/>
              <w:bottom w:val="nil"/>
              <w:right w:val="nil"/>
            </w:tcBorders>
            <w:shd w:val="clear" w:color="auto" w:fill="auto"/>
            <w:vAlign w:val="center"/>
          </w:tcPr>
          <w:p w14:paraId="707E48A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启东市吕四自来水厂有限公司                                                         倒流防止器2025-2026年度采购项目询价表</w:t>
            </w:r>
          </w:p>
        </w:tc>
      </w:tr>
      <w:tr w14:paraId="7703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1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0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9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A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        （元/只）</w:t>
            </w: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6A6A5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53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6488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B4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11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BD3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D754">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BB8BE">
            <w:pP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nil"/>
              <w:right w:val="single" w:color="000000" w:sz="4" w:space="0"/>
            </w:tcBorders>
            <w:shd w:val="clear" w:color="auto" w:fill="auto"/>
            <w:vAlign w:val="center"/>
          </w:tcPr>
          <w:p w14:paraId="7728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E32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F3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FCB3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DN150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D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8A7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2F5E">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61FD">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55A47F56">
            <w:pPr>
              <w:jc w:val="center"/>
              <w:rPr>
                <w:rFonts w:hint="eastAsia" w:ascii="宋体" w:hAnsi="宋体" w:eastAsia="宋体" w:cs="宋体"/>
                <w:i w:val="0"/>
                <w:iCs w:val="0"/>
                <w:color w:val="000000"/>
                <w:sz w:val="22"/>
                <w:szCs w:val="22"/>
                <w:u w:val="none"/>
              </w:rPr>
            </w:pPr>
          </w:p>
        </w:tc>
      </w:tr>
      <w:tr w14:paraId="58F5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14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D59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BE1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6B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D6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D6BD">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75FC">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1B2DC700">
            <w:pPr>
              <w:jc w:val="center"/>
              <w:rPr>
                <w:rFonts w:hint="eastAsia" w:ascii="宋体" w:hAnsi="宋体" w:eastAsia="宋体" w:cs="宋体"/>
                <w:i w:val="0"/>
                <w:iCs w:val="0"/>
                <w:color w:val="000000"/>
                <w:sz w:val="22"/>
                <w:szCs w:val="22"/>
                <w:u w:val="none"/>
              </w:rPr>
            </w:pPr>
          </w:p>
        </w:tc>
      </w:tr>
      <w:tr w14:paraId="42F0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A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A3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低阻力倒流防止器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F6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9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C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03F">
            <w:pPr>
              <w:rPr>
                <w:rFonts w:hint="eastAsia" w:ascii="宋体" w:hAnsi="宋体" w:eastAsia="宋体" w:cs="宋体"/>
                <w:i w:val="0"/>
                <w:iCs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E9F9">
            <w:pP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56820838">
            <w:pPr>
              <w:jc w:val="center"/>
              <w:rPr>
                <w:rFonts w:hint="eastAsia" w:ascii="宋体" w:hAnsi="宋体" w:eastAsia="宋体" w:cs="宋体"/>
                <w:i w:val="0"/>
                <w:iCs w:val="0"/>
                <w:color w:val="000000"/>
                <w:sz w:val="22"/>
                <w:szCs w:val="22"/>
                <w:u w:val="none"/>
              </w:rPr>
            </w:pPr>
          </w:p>
        </w:tc>
      </w:tr>
      <w:tr w14:paraId="0E9C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3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A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65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AB8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                      小写：</w:t>
            </w:r>
          </w:p>
        </w:tc>
      </w:tr>
      <w:tr w14:paraId="689B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19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E9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w:t>
            </w:r>
          </w:p>
          <w:p w14:paraId="115D23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一、供应商的资格要求</w:t>
            </w:r>
          </w:p>
          <w:p w14:paraId="7B6303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1、符合《中华人民共和国政府采购法》第二十二条规定；</w:t>
            </w:r>
          </w:p>
          <w:p w14:paraId="5ECD80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2、未被“信用中国”网站列入失信被执行人、重大税收违法案件当事人名单、政府采购严重失信行为记录名单；</w:t>
            </w:r>
          </w:p>
          <w:p w14:paraId="367964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3、对于参加报价的供应商，须具有合法的营业执照；</w:t>
            </w:r>
          </w:p>
          <w:p w14:paraId="0E138E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4、报价人提供自2022年以来的供水企业业绩证明（相对应的合同、发票扫描件，加盖公章）。                                                                                                 </w:t>
            </w:r>
          </w:p>
          <w:p w14:paraId="36B7C4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二、本项目招标不接受联合体投标。</w:t>
            </w:r>
          </w:p>
          <w:p w14:paraId="26A404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三、材料标准及要求</w:t>
            </w:r>
          </w:p>
          <w:p w14:paraId="43A0FA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（一）执行标准</w:t>
            </w:r>
          </w:p>
          <w:p w14:paraId="17B797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1．报价产品的质量应符合相关国家或行业标准的要求。</w:t>
            </w:r>
          </w:p>
          <w:p w14:paraId="38D7AD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制造厂家提供的产品，包括由其它厂家外购的设备和附件，其设计、制造、检验、检测、包装和运输，在满足以下规范、标准的最新版本及ISO9001质量保证体系的前提下，应满足或高于本招标文件技术要求的规定。如有冲突，按严格的执行。凡本技术要求未特别提及的地方，也应符合中华人民共和国现行的有关国家标准。</w:t>
            </w:r>
          </w:p>
          <w:p w14:paraId="797D5E9A">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GB/T 1047-2005　管道元件DN(公称尺寸)的定义和选用 </w:t>
            </w:r>
          </w:p>
          <w:p w14:paraId="35DB2F5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1048-2005　管道元件 PN(公称压力)的定义和选用</w:t>
            </w:r>
          </w:p>
          <w:p w14:paraId="478D0011">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9969.1-1998　工业产品使用说明书　总则</w:t>
            </w:r>
          </w:p>
          <w:p w14:paraId="64D1BECB">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12225-2005　通用阀门 铜合金铸件技术条件</w:t>
            </w:r>
          </w:p>
          <w:p w14:paraId="6958EABA">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12226-2005　通用阀门 灰铸铁件技术条件</w:t>
            </w:r>
          </w:p>
          <w:p w14:paraId="7283F94E">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12227-2005　通用阀门 球墨铸铁件技术条件</w:t>
            </w:r>
          </w:p>
          <w:p w14:paraId="0E80E427">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12229-2005　通用阀门 碳素钢铸件技术条件</w:t>
            </w:r>
          </w:p>
          <w:p w14:paraId="1986DD6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13927-2008　通用阀门　压力试验</w:t>
            </w:r>
          </w:p>
          <w:p w14:paraId="36AA92F0">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17219-1998　生活饮用水输配水设备及防护材料的安全性评价标准</w:t>
            </w:r>
          </w:p>
          <w:p w14:paraId="6A86F4A0">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 17241-1998　铸铁管法兰</w:t>
            </w:r>
          </w:p>
          <w:p w14:paraId="34C00AA4">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74-1994　管路法兰　技术条件</w:t>
            </w:r>
          </w:p>
          <w:p w14:paraId="10AB7127">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5300-1991　通用阀门　材料</w:t>
            </w:r>
          </w:p>
          <w:p w14:paraId="7190C72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7927-1999　阀门铸钢件　外观质量要求</w:t>
            </w:r>
          </w:p>
          <w:p w14:paraId="237B0A0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8937-1999  对夹式止回阀</w:t>
            </w:r>
          </w:p>
          <w:p w14:paraId="1AB03608">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 308-2004  阀门型号编制方法</w:t>
            </w:r>
          </w:p>
          <w:p w14:paraId="31EE9713">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GB/T25178-2010  减压型倒流防止器</w:t>
            </w:r>
          </w:p>
          <w:p w14:paraId="5D64A315">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JB/T11151-2011  低阻力倒流防止器</w:t>
            </w:r>
          </w:p>
          <w:p w14:paraId="63BA08D9">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CJ/T160-2010 双止回阀倒流防止器</w:t>
            </w:r>
          </w:p>
          <w:p w14:paraId="40631D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（二）主要部件材质</w:t>
            </w:r>
          </w:p>
          <w:p w14:paraId="545818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主要零件材料见下表，若零件材料被代用时，其机械性能不应低于表中所规定的材料。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8"/>
              <w:gridCol w:w="4988"/>
            </w:tblGrid>
            <w:tr w14:paraId="1AD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27A91F0C">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主 要 零 件</w:t>
                  </w:r>
                </w:p>
              </w:tc>
              <w:tc>
                <w:tcPr>
                  <w:tcW w:w="4988" w:type="dxa"/>
                  <w:vAlign w:val="center"/>
                </w:tcPr>
                <w:p w14:paraId="7947BBBB">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材 料 名 称</w:t>
                  </w:r>
                </w:p>
              </w:tc>
            </w:tr>
            <w:tr w14:paraId="51FC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76513ADC">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阀体、阀盖</w:t>
                  </w:r>
                </w:p>
              </w:tc>
              <w:tc>
                <w:tcPr>
                  <w:tcW w:w="4988" w:type="dxa"/>
                  <w:vAlign w:val="center"/>
                </w:tcPr>
                <w:p w14:paraId="779D98BE">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球墨铸铁QT450/不锈钢</w:t>
                  </w:r>
                </w:p>
              </w:tc>
            </w:tr>
            <w:tr w14:paraId="7089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3AAE37B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橡胶密封件、膜片</w:t>
                  </w:r>
                </w:p>
              </w:tc>
              <w:tc>
                <w:tcPr>
                  <w:tcW w:w="4988" w:type="dxa"/>
                  <w:vAlign w:val="center"/>
                </w:tcPr>
                <w:p w14:paraId="2818AB1A">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丁腈橡胶或三元乙丙</w:t>
                  </w:r>
                </w:p>
              </w:tc>
            </w:tr>
            <w:tr w14:paraId="05C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59693FBA">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泄水阀板</w:t>
                  </w:r>
                </w:p>
              </w:tc>
              <w:tc>
                <w:tcPr>
                  <w:tcW w:w="4988" w:type="dxa"/>
                  <w:vAlign w:val="center"/>
                </w:tcPr>
                <w:p w14:paraId="2A9ABC1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304(外包覆丁腈橡胶或三元乙丙)</w:t>
                  </w:r>
                </w:p>
              </w:tc>
            </w:tr>
            <w:tr w14:paraId="73E6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3BB8DC3F">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止回阀阀瓣</w:t>
                  </w:r>
                </w:p>
              </w:tc>
              <w:tc>
                <w:tcPr>
                  <w:tcW w:w="4988" w:type="dxa"/>
                  <w:vAlign w:val="center"/>
                </w:tcPr>
                <w:p w14:paraId="44F6651E">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304不锈钢</w:t>
                  </w:r>
                </w:p>
              </w:tc>
            </w:tr>
            <w:tr w14:paraId="65A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49025EE4">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阀杆、止回阀弹簧</w:t>
                  </w:r>
                </w:p>
              </w:tc>
              <w:tc>
                <w:tcPr>
                  <w:tcW w:w="4988" w:type="dxa"/>
                  <w:vAlign w:val="center"/>
                </w:tcPr>
                <w:p w14:paraId="37BD67C7">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1Cr18Ni9Ti/304不锈钢</w:t>
                  </w:r>
                </w:p>
              </w:tc>
            </w:tr>
            <w:tr w14:paraId="0CEB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05A39C76">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阀座</w:t>
                  </w:r>
                </w:p>
              </w:tc>
              <w:tc>
                <w:tcPr>
                  <w:tcW w:w="4988" w:type="dxa"/>
                  <w:vAlign w:val="center"/>
                </w:tcPr>
                <w:p w14:paraId="0BF3E9EF">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CF8/铜合金（镀镍）</w:t>
                  </w:r>
                </w:p>
              </w:tc>
            </w:tr>
            <w:tr w14:paraId="66D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88" w:type="dxa"/>
                  <w:vAlign w:val="center"/>
                </w:tcPr>
                <w:p w14:paraId="766DD495">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与水接触的紧固件</w:t>
                  </w:r>
                </w:p>
              </w:tc>
              <w:tc>
                <w:tcPr>
                  <w:tcW w:w="4988" w:type="dxa"/>
                  <w:vAlign w:val="center"/>
                </w:tcPr>
                <w:p w14:paraId="5DA6BF25">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contextualSpacing/>
                    <w:jc w:val="center"/>
                    <w:textAlignment w:val="auto"/>
                    <w:rPr>
                      <w:rFonts w:hint="eastAsia" w:ascii="宋体" w:hAnsi="宋体" w:eastAsia="宋体" w:cs="宋体"/>
                      <w:b w:val="0"/>
                      <w:bCs w:val="0"/>
                      <w:i w:val="0"/>
                      <w:iCs w:val="0"/>
                      <w:color w:val="000000"/>
                      <w:kern w:val="0"/>
                      <w:sz w:val="21"/>
                      <w:szCs w:val="21"/>
                      <w:u w:val="none"/>
                      <w:vertAlign w:val="baseline"/>
                      <w:lang w:val="en-US" w:eastAsia="zh-CN" w:bidi="ar"/>
                    </w:rPr>
                  </w:pPr>
                  <w:r>
                    <w:rPr>
                      <w:rFonts w:hint="eastAsia" w:ascii="宋体" w:hAnsi="宋体" w:eastAsia="宋体" w:cs="宋体"/>
                      <w:color w:val="000000"/>
                      <w:sz w:val="21"/>
                      <w:szCs w:val="21"/>
                    </w:rPr>
                    <w:t>304不锈钢</w:t>
                  </w:r>
                </w:p>
              </w:tc>
            </w:tr>
          </w:tbl>
          <w:p w14:paraId="3D2039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倒流防止器的公称压力应符合GB/T 1048的规定。</w:t>
            </w:r>
          </w:p>
          <w:p w14:paraId="254F26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倒流防止器的公称通径应符合GB/T 1047的规定。</w:t>
            </w:r>
          </w:p>
          <w:p w14:paraId="376DC8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（三）涂装</w:t>
            </w:r>
          </w:p>
          <w:p w14:paraId="155840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1．所有流道内表面应清理平整。表面进行喷砂除锈，达到Sa2.5级；涂层厚度为：0.3—0.6mm之间，涂料应符合GB/T 17219要求。</w:t>
            </w:r>
          </w:p>
          <w:p w14:paraId="722A29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2．产品外部表面应仔细清除铁锈和油污，涂上底漆。面漆喷涂应该均匀、光洁，不允许有裂纹、脱皮、气泡等缺陷，面漆颜色除用户特殊要求外，一般为绿色或蓝色。</w:t>
            </w:r>
          </w:p>
          <w:p w14:paraId="2C2C40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3．阀体外表面适当位置应铸有凸出的规格、公称压力字样和表示水流方向的箭头。</w:t>
            </w:r>
          </w:p>
          <w:p w14:paraId="4804D1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（四）基本要求</w:t>
            </w:r>
          </w:p>
          <w:p w14:paraId="09C1AE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1．低阻力法兰型倒流防止器低阻力法兰型公称压力等级均为：1.0MPa；连接方式：DN50及以上规格为法兰连接，DN40及以下为螺纹连接。</w:t>
            </w:r>
          </w:p>
          <w:p w14:paraId="62D5CE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2．低阻力法兰型倒流防止器要求采用两级独立止回阀加泄水阀的结构，两级止回阀开启关闭互相不干涉。倒流防止器必须成套供应，包括密封圈、阀座、阀瓣等配件。</w:t>
            </w:r>
          </w:p>
          <w:p w14:paraId="560F11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3．低阻力法兰型倒流防止器不应有外露旁通控制管路存在。</w:t>
            </w:r>
          </w:p>
          <w:p w14:paraId="68C57C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4．低阻力法兰型倒流防止器泄水阀组件应位于主阀体内部或与主阀体一体，不许采用外挂连接形式。</w:t>
            </w:r>
          </w:p>
          <w:p w14:paraId="2321F2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5、泄水阀应采用双重密封形式确保密封的可靠（双重密封不能位于同一平面），且在泄水口周边应加装防护装置，防止杂质进入泄水口而产生卡阻。</w:t>
            </w:r>
          </w:p>
          <w:p w14:paraId="13198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6．低阻力法兰型倒流防止器与水接触的零部件不许采用铜质材料。</w:t>
            </w:r>
          </w:p>
          <w:p w14:paraId="2B3E1B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7．低阻力法兰型倒流防止器检测口数量不少于三个，检测口直径不得小于8mm，检测口螺纹规格不小于G1/4’，检测口应安装304以上不锈钢球阀。</w:t>
            </w:r>
          </w:p>
          <w:p w14:paraId="0AE8BB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8、双止回阀倒流防止器要求采用二级独立的止回阀结构，二级止回阀除阀体共用外无其余共用件，且要求阀体下端无泄水口。</w:t>
            </w:r>
          </w:p>
          <w:p w14:paraId="003F4E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9、双止回阀倒流防止器要求具备三个检测口，检测口位于阀体侧面或阀体上端，检测口螺纹不小于G1/4’，且检测口要求加装检修阀。</w:t>
            </w:r>
          </w:p>
          <w:p w14:paraId="19B766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10、双止回阀倒流止器要求具有在线检修功能，即不用将阀门从管道上拆下即可以进行内部件的维修及更换。</w:t>
            </w:r>
          </w:p>
          <w:p w14:paraId="3ABD63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11、双止回阀倒流防止器不允许采用低阻力倒流防止器取消泄水口的结构方式。</w:t>
            </w:r>
          </w:p>
          <w:p w14:paraId="44F94F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12、双止回阀倒流防止器不应与低阻力倒流防止器通用，产品底部平整一体无装置，水头损失不大于4米（流速2m/s时）。</w:t>
            </w:r>
          </w:p>
          <w:p w14:paraId="1C8236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（五）低阻力倒流防止器技术要求</w:t>
            </w:r>
          </w:p>
          <w:p w14:paraId="42228A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1．正常流动状态：进水端的供水压力总是高于出水端水的压力，水能顺利流过低阻力倒流防止器作正向流动，这时进水端的水压与中间腔水压差不小于0.007MPa，这个压差驱动泄水阀处于关闭状态，泄水阀不泄水。</w:t>
            </w:r>
          </w:p>
          <w:p w14:paraId="3934DE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2．零流量状态（一）：出水端无水流出，若进水端供水压力保持恒定，且进水端水压高于阀腔内水压，压差不小于0.007MPa，泄水阀处于关闭状态。此时出水止回阀压差应不小于0.0035MPa。</w:t>
            </w:r>
          </w:p>
          <w:p w14:paraId="376BEC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3．零流量状态（二）：出水端无水流出，若进水端供水压力出现下降，虽然进水端的压力仍高于阀腔内的压力，但当ΔPj 小于0.002MPa时, 旁通泄水阀就开启泄水，阀腔内的水（部分）被排出；当出水管路因某种原因而水压上升，而且出水止回阀泄漏，造成阀腔内压力上升，这时当ΔPj小于0.002MPa时泄水阀开启将反流水排出。只要泄水阀开启，空气立即通过与大气相通的漏水斗进入阀腔，形成空气隔断。</w:t>
            </w:r>
          </w:p>
          <w:p w14:paraId="24E467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反虹吸状态：当倒流防止器的进水端供水压力下降至≤0.002MPa时，无论阀腔内的压力多大，泄水阀开启泄水，同时空气立即通过与大气相通的漏水斗进入阀腔，形成空气隔断，进水端水压即使继续下降形成负压，也不会产生虹吸倒流。</w:t>
            </w:r>
          </w:p>
          <w:p w14:paraId="7D5E1B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5．中间腔有空气隔断防止外界水源进入。</w:t>
            </w:r>
          </w:p>
          <w:p w14:paraId="58BA19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6．投标产品必须提供出厂试验、静水压试验、密封试验试验报告。采用专用压差检测分析仪进行检测分析。</w:t>
            </w:r>
          </w:p>
          <w:p w14:paraId="374369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7．性能要求：</w:t>
            </w:r>
          </w:p>
          <w:p w14:paraId="2E89B5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①整机的壳体应有足够的强度和刚度，当试验压力为1.5倍的公称压力时，不得有结构损伤、永久变形和渗漏等现象。</w:t>
            </w:r>
          </w:p>
          <w:p w14:paraId="666E05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②整机所有部件的接口，在试验压力为1.1倍的公称压力时，对外应密封可靠、无泄漏。</w:t>
            </w:r>
          </w:p>
          <w:p w14:paraId="71DFD0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③整机内的所有止回阀和密封件的密封部位，在试验压力为1.1倍的公称压力时，应无泄漏现象。</w:t>
            </w:r>
          </w:p>
        </w:tc>
      </w:tr>
      <w:tr w14:paraId="754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3A687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c>
          <w:tcPr>
            <w:tcW w:w="488" w:type="dxa"/>
            <w:gridSpan w:val="2"/>
            <w:tcBorders>
              <w:top w:val="nil"/>
              <w:left w:val="nil"/>
              <w:bottom w:val="nil"/>
              <w:right w:val="nil"/>
            </w:tcBorders>
            <w:shd w:val="clear" w:color="auto" w:fill="auto"/>
            <w:noWrap/>
            <w:vAlign w:val="center"/>
          </w:tcPr>
          <w:p w14:paraId="062751E5">
            <w:pPr>
              <w:rPr>
                <w:rFonts w:hint="eastAsia" w:ascii="宋体" w:hAnsi="宋体" w:eastAsia="宋体" w:cs="宋体"/>
                <w:i w:val="0"/>
                <w:iCs w:val="0"/>
                <w:color w:val="000000"/>
                <w:sz w:val="22"/>
                <w:szCs w:val="22"/>
                <w:u w:val="none"/>
              </w:rPr>
            </w:pPr>
          </w:p>
        </w:tc>
      </w:tr>
      <w:tr w14:paraId="4E22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22883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8" w:type="dxa"/>
            <w:gridSpan w:val="2"/>
            <w:tcBorders>
              <w:top w:val="nil"/>
              <w:left w:val="nil"/>
              <w:bottom w:val="nil"/>
              <w:right w:val="nil"/>
            </w:tcBorders>
            <w:shd w:val="clear" w:color="auto" w:fill="auto"/>
            <w:noWrap/>
            <w:vAlign w:val="center"/>
          </w:tcPr>
          <w:p w14:paraId="36A6D72B">
            <w:pPr>
              <w:rPr>
                <w:rFonts w:hint="eastAsia" w:ascii="宋体" w:hAnsi="宋体" w:eastAsia="宋体" w:cs="宋体"/>
                <w:i w:val="0"/>
                <w:iCs w:val="0"/>
                <w:color w:val="000000"/>
                <w:sz w:val="22"/>
                <w:szCs w:val="22"/>
                <w:u w:val="none"/>
              </w:rPr>
            </w:pPr>
          </w:p>
        </w:tc>
      </w:tr>
      <w:tr w14:paraId="789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548C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488" w:type="dxa"/>
            <w:gridSpan w:val="2"/>
            <w:tcBorders>
              <w:top w:val="nil"/>
              <w:left w:val="nil"/>
              <w:bottom w:val="nil"/>
              <w:right w:val="nil"/>
            </w:tcBorders>
            <w:shd w:val="clear" w:color="auto" w:fill="auto"/>
            <w:noWrap/>
            <w:vAlign w:val="center"/>
          </w:tcPr>
          <w:p w14:paraId="058C8CB1">
            <w:pPr>
              <w:rPr>
                <w:rFonts w:hint="eastAsia" w:ascii="宋体" w:hAnsi="宋体" w:eastAsia="宋体" w:cs="宋体"/>
                <w:i w:val="0"/>
                <w:iCs w:val="0"/>
                <w:color w:val="000000"/>
                <w:sz w:val="22"/>
                <w:szCs w:val="22"/>
                <w:u w:val="none"/>
              </w:rPr>
            </w:pPr>
          </w:p>
        </w:tc>
      </w:tr>
      <w:tr w14:paraId="7E1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6"/>
          <w:wBefore w:w="323" w:type="dxa"/>
          <w:wAfter w:w="7268" w:type="dxa"/>
          <w:trHeight w:val="585" w:hRule="atLeast"/>
        </w:trPr>
        <w:tc>
          <w:tcPr>
            <w:tcW w:w="2113" w:type="dxa"/>
            <w:gridSpan w:val="2"/>
            <w:tcBorders>
              <w:top w:val="nil"/>
              <w:left w:val="nil"/>
              <w:bottom w:val="nil"/>
              <w:right w:val="nil"/>
            </w:tcBorders>
            <w:shd w:val="clear" w:color="auto" w:fill="auto"/>
            <w:noWrap/>
            <w:vAlign w:val="center"/>
          </w:tcPr>
          <w:p w14:paraId="667C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报价时间：</w:t>
            </w:r>
          </w:p>
        </w:tc>
        <w:tc>
          <w:tcPr>
            <w:tcW w:w="488" w:type="dxa"/>
            <w:gridSpan w:val="2"/>
            <w:tcBorders>
              <w:top w:val="nil"/>
              <w:left w:val="nil"/>
              <w:bottom w:val="nil"/>
              <w:right w:val="nil"/>
            </w:tcBorders>
            <w:shd w:val="clear" w:color="auto" w:fill="auto"/>
            <w:noWrap/>
            <w:vAlign w:val="center"/>
          </w:tcPr>
          <w:p w14:paraId="3DC399B5">
            <w:pPr>
              <w:rPr>
                <w:rFonts w:hint="eastAsia" w:ascii="宋体" w:hAnsi="宋体" w:eastAsia="宋体" w:cs="宋体"/>
                <w:i w:val="0"/>
                <w:iCs w:val="0"/>
                <w:color w:val="000000"/>
                <w:sz w:val="22"/>
                <w:szCs w:val="22"/>
                <w:u w:val="none"/>
              </w:rPr>
            </w:pPr>
          </w:p>
        </w:tc>
      </w:tr>
    </w:tbl>
    <w:p w14:paraId="2E99BD8C">
      <w:pPr>
        <w:pStyle w:val="2"/>
        <w:rPr>
          <w:rFonts w:hint="default"/>
          <w:lang w:val="en-US" w:eastAsia="zh-CN"/>
        </w:rPr>
      </w:pP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4161F"/>
    <w:rsid w:val="002702DF"/>
    <w:rsid w:val="00355A7A"/>
    <w:rsid w:val="0037713F"/>
    <w:rsid w:val="00467337"/>
    <w:rsid w:val="00A237DF"/>
    <w:rsid w:val="00C51756"/>
    <w:rsid w:val="00CA31DF"/>
    <w:rsid w:val="013A07FE"/>
    <w:rsid w:val="02004145"/>
    <w:rsid w:val="0215722A"/>
    <w:rsid w:val="03EC63FF"/>
    <w:rsid w:val="04167BE0"/>
    <w:rsid w:val="04FE1868"/>
    <w:rsid w:val="055210FB"/>
    <w:rsid w:val="060F014D"/>
    <w:rsid w:val="06C9698C"/>
    <w:rsid w:val="06DE411B"/>
    <w:rsid w:val="081F710D"/>
    <w:rsid w:val="08767CBA"/>
    <w:rsid w:val="09CE1802"/>
    <w:rsid w:val="0ADA1283"/>
    <w:rsid w:val="0AF0679F"/>
    <w:rsid w:val="0B837613"/>
    <w:rsid w:val="0C807FF6"/>
    <w:rsid w:val="0D18108F"/>
    <w:rsid w:val="0D9A7247"/>
    <w:rsid w:val="0DA50256"/>
    <w:rsid w:val="0EE36B7D"/>
    <w:rsid w:val="0F0243F5"/>
    <w:rsid w:val="108154AD"/>
    <w:rsid w:val="12EA747F"/>
    <w:rsid w:val="13121E77"/>
    <w:rsid w:val="13455F77"/>
    <w:rsid w:val="15B72A35"/>
    <w:rsid w:val="15C50828"/>
    <w:rsid w:val="1B932687"/>
    <w:rsid w:val="1BCA6B98"/>
    <w:rsid w:val="1CAC06B2"/>
    <w:rsid w:val="1E8B21FB"/>
    <w:rsid w:val="21477E44"/>
    <w:rsid w:val="221847B8"/>
    <w:rsid w:val="2262713B"/>
    <w:rsid w:val="228D26CE"/>
    <w:rsid w:val="22CA2753"/>
    <w:rsid w:val="240E2A35"/>
    <w:rsid w:val="26AF77E5"/>
    <w:rsid w:val="270B5BBD"/>
    <w:rsid w:val="279B70C5"/>
    <w:rsid w:val="27B57E67"/>
    <w:rsid w:val="2940272E"/>
    <w:rsid w:val="2B54029B"/>
    <w:rsid w:val="2BC3384A"/>
    <w:rsid w:val="2CEF3FB8"/>
    <w:rsid w:val="2DA66135"/>
    <w:rsid w:val="2DB82625"/>
    <w:rsid w:val="2ED5212C"/>
    <w:rsid w:val="30552FD2"/>
    <w:rsid w:val="30C90D87"/>
    <w:rsid w:val="30F33128"/>
    <w:rsid w:val="322A22B1"/>
    <w:rsid w:val="347304AF"/>
    <w:rsid w:val="36F07953"/>
    <w:rsid w:val="3885236D"/>
    <w:rsid w:val="391E3890"/>
    <w:rsid w:val="3AF02BC0"/>
    <w:rsid w:val="3AF066C3"/>
    <w:rsid w:val="3BEA51F5"/>
    <w:rsid w:val="3C6A6406"/>
    <w:rsid w:val="3D2C0ADF"/>
    <w:rsid w:val="3E1E176E"/>
    <w:rsid w:val="3E202F15"/>
    <w:rsid w:val="3E9078C4"/>
    <w:rsid w:val="3FD55619"/>
    <w:rsid w:val="404B6C28"/>
    <w:rsid w:val="41F37139"/>
    <w:rsid w:val="420951A2"/>
    <w:rsid w:val="424A7A77"/>
    <w:rsid w:val="42875CFB"/>
    <w:rsid w:val="42C92294"/>
    <w:rsid w:val="43132246"/>
    <w:rsid w:val="45FA78C3"/>
    <w:rsid w:val="47675677"/>
    <w:rsid w:val="48F53072"/>
    <w:rsid w:val="494621F7"/>
    <w:rsid w:val="4C7F348C"/>
    <w:rsid w:val="4CA44F5B"/>
    <w:rsid w:val="4F25246D"/>
    <w:rsid w:val="50EA7F43"/>
    <w:rsid w:val="50F06B23"/>
    <w:rsid w:val="513973A6"/>
    <w:rsid w:val="51ED6A4B"/>
    <w:rsid w:val="52304CA0"/>
    <w:rsid w:val="525B1C51"/>
    <w:rsid w:val="5331250E"/>
    <w:rsid w:val="54F36E09"/>
    <w:rsid w:val="558820D0"/>
    <w:rsid w:val="57346FE0"/>
    <w:rsid w:val="57F83763"/>
    <w:rsid w:val="59DB49CF"/>
    <w:rsid w:val="5A3B2D3C"/>
    <w:rsid w:val="5A683FFF"/>
    <w:rsid w:val="5AA769EB"/>
    <w:rsid w:val="5C664E8E"/>
    <w:rsid w:val="5DBF29C4"/>
    <w:rsid w:val="5F5E0F4F"/>
    <w:rsid w:val="62D85246"/>
    <w:rsid w:val="631F5A7F"/>
    <w:rsid w:val="64C9114F"/>
    <w:rsid w:val="662752EF"/>
    <w:rsid w:val="66DD5F97"/>
    <w:rsid w:val="679512FB"/>
    <w:rsid w:val="687A167D"/>
    <w:rsid w:val="68BA0755"/>
    <w:rsid w:val="68E65C61"/>
    <w:rsid w:val="68F94F56"/>
    <w:rsid w:val="693F2885"/>
    <w:rsid w:val="6B342BA7"/>
    <w:rsid w:val="6BE60DC5"/>
    <w:rsid w:val="6CF54EC6"/>
    <w:rsid w:val="6D983C19"/>
    <w:rsid w:val="6F8F0EBD"/>
    <w:rsid w:val="6FB438A3"/>
    <w:rsid w:val="701F75C9"/>
    <w:rsid w:val="703F45D4"/>
    <w:rsid w:val="708F5A33"/>
    <w:rsid w:val="70D36330"/>
    <w:rsid w:val="71072C9F"/>
    <w:rsid w:val="724D47CD"/>
    <w:rsid w:val="736E263D"/>
    <w:rsid w:val="73F3271F"/>
    <w:rsid w:val="755D5634"/>
    <w:rsid w:val="7638442C"/>
    <w:rsid w:val="78937BBC"/>
    <w:rsid w:val="79852FF6"/>
    <w:rsid w:val="79E77679"/>
    <w:rsid w:val="7ACC2155"/>
    <w:rsid w:val="7B85402B"/>
    <w:rsid w:val="7C156B31"/>
    <w:rsid w:val="7C5E095D"/>
    <w:rsid w:val="7CA413CC"/>
    <w:rsid w:val="7CB80EEC"/>
    <w:rsid w:val="7D105E6B"/>
    <w:rsid w:val="7D1C36F2"/>
    <w:rsid w:val="7DD66E82"/>
    <w:rsid w:val="7DD73D91"/>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3"/>
    <w:autoRedefine/>
    <w:qFormat/>
    <w:uiPriority w:val="9"/>
    <w:rPr>
      <w:b/>
      <w:bCs/>
      <w:kern w:val="44"/>
      <w:sz w:val="44"/>
      <w:szCs w:val="44"/>
    </w:rPr>
  </w:style>
  <w:style w:type="character" w:customStyle="1" w:styleId="22">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5"/>
    <w:autoRedefine/>
    <w:qFormat/>
    <w:uiPriority w:val="9"/>
    <w:rPr>
      <w:b/>
      <w:bCs/>
      <w:sz w:val="32"/>
      <w:szCs w:val="32"/>
    </w:rPr>
  </w:style>
  <w:style w:type="character" w:customStyle="1" w:styleId="24">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7"/>
    <w:autoRedefine/>
    <w:qFormat/>
    <w:uiPriority w:val="9"/>
    <w:rPr>
      <w:b/>
      <w:bCs/>
      <w:sz w:val="28"/>
      <w:szCs w:val="28"/>
    </w:rPr>
  </w:style>
  <w:style w:type="character" w:customStyle="1" w:styleId="26">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3423</Words>
  <Characters>3875</Characters>
  <Lines>39</Lines>
  <Paragraphs>10</Paragraphs>
  <TotalTime>2</TotalTime>
  <ScaleCrop>false</ScaleCrop>
  <LinksUpToDate>false</LinksUpToDate>
  <CharactersWithSpaces>4141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2025-04-14T01:13:58Z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A859AC4401374E42A1405D0F05B18B98_13</vt:lpwstr>
  </property>
  <property fmtid="{D5CDD505-2E9C-101B-9397-08002B2CF9AE}" pid="4" name="KSOTemplateDocerSaveRecord">
    <vt:lpwstr>eyJoZGlkIjoiNzFhZjk3MWU2ODZjMTU1ZDU0MWFlZmQyMTYwNjE5ZjIiLCJ1c2VySWQiOiIyMzk3ODg1OTIifQ==</vt:lpwstr>
  </property>
</Properties>
</file>